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B4E4" w14:textId="3751661C" w:rsidR="00AF6941" w:rsidRDefault="00AF6941" w:rsidP="00CD69EA">
      <w:pPr>
        <w:pStyle w:val="Heading1Design2"/>
      </w:pPr>
      <w:bookmarkStart w:id="0" w:name="_Hlk68698081"/>
      <w:r w:rsidRPr="00D508BA">
        <w:rPr>
          <w:noProof/>
        </w:rPr>
        <w:drawing>
          <wp:anchor distT="0" distB="0" distL="114300" distR="114300" simplePos="0" relativeHeight="251659264" behindDoc="1" locked="0" layoutInCell="1" allowOverlap="1" wp14:anchorId="213791E9" wp14:editId="6BE5553C">
            <wp:simplePos x="0" y="0"/>
            <wp:positionH relativeFrom="column">
              <wp:posOffset>0</wp:posOffset>
            </wp:positionH>
            <wp:positionV relativeFrom="page">
              <wp:posOffset>914400</wp:posOffset>
            </wp:positionV>
            <wp:extent cx="1905000" cy="866775"/>
            <wp:effectExtent l="0" t="0" r="0" b="9525"/>
            <wp:wrapNone/>
            <wp:docPr id="4" name="Picture 4"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S logo BW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00787A02">
        <w:t>Donation Policy for Public Assistance Programs</w:t>
      </w:r>
    </w:p>
    <w:p w14:paraId="569C521D" w14:textId="77777777" w:rsidR="00AF6941" w:rsidRDefault="00AF6941" w:rsidP="00D508BA">
      <w:pPr>
        <w:rPr>
          <w:rFonts w:asciiTheme="majorHAnsi" w:eastAsiaTheme="majorEastAsia" w:hAnsiTheme="majorHAnsi" w:cs="Arial"/>
          <w:b/>
          <w:color w:val="000000" w:themeColor="text2"/>
          <w:sz w:val="40"/>
          <w:szCs w:val="36"/>
        </w:rPr>
        <w:sectPr w:rsidR="00AF6941" w:rsidSect="00CD69EA">
          <w:footerReference w:type="default" r:id="rId12"/>
          <w:footerReference w:type="first" r:id="rId13"/>
          <w:footnotePr>
            <w:numFmt w:val="lowerLetter"/>
          </w:footnotePr>
          <w:type w:val="continuous"/>
          <w:pgSz w:w="12240" w:h="15840"/>
          <w:pgMar w:top="1440" w:right="1440" w:bottom="1440" w:left="1440" w:header="720" w:footer="720" w:gutter="0"/>
          <w:cols w:space="720"/>
          <w:titlePg/>
          <w:docGrid w:linePitch="360"/>
        </w:sectPr>
      </w:pPr>
    </w:p>
    <w:p w14:paraId="460700B8" w14:textId="77777777" w:rsidR="00AF6941" w:rsidRPr="00CD69EA" w:rsidRDefault="009D4382" w:rsidP="00CD69EA">
      <w:pPr>
        <w:pStyle w:val="BodyText"/>
        <w:spacing w:before="600"/>
      </w:pPr>
      <w:bookmarkStart w:id="1" w:name="_Toc69312136"/>
      <w:bookmarkStart w:id="2" w:name="_Toc69312147"/>
      <w:bookmarkEnd w:id="0"/>
      <w:r>
        <w:pict w14:anchorId="5803C479">
          <v:rect id="_x0000_i1025" style="width:468pt;height:2pt" o:hralign="center" o:hrstd="t" o:hrnoshade="t" o:hr="t" fillcolor="black [3215]" stroked="f"/>
        </w:pict>
      </w:r>
    </w:p>
    <w:bookmarkEnd w:id="1"/>
    <w:bookmarkEnd w:id="2"/>
    <w:p w14:paraId="15B3790D" w14:textId="4FEC0EDF" w:rsidR="009E3912" w:rsidRDefault="00787A02" w:rsidP="009E3912">
      <w:pPr>
        <w:pStyle w:val="Heading2"/>
      </w:pPr>
      <w:r>
        <w:t xml:space="preserve">Direct </w:t>
      </w:r>
      <w:r w:rsidR="00D8310C">
        <w:t>Donations</w:t>
      </w:r>
    </w:p>
    <w:p w14:paraId="2127F311" w14:textId="0415BED8" w:rsidR="00204623" w:rsidRDefault="00204623" w:rsidP="00261E59">
      <w:pPr>
        <w:pStyle w:val="xmsonormal"/>
        <w:shd w:val="clear" w:color="auto" w:fill="FFFFFF"/>
        <w:rPr>
          <w:rFonts w:eastAsia="Times New Roman"/>
          <w:color w:val="auto"/>
        </w:rPr>
      </w:pPr>
      <w:r w:rsidRPr="00261E59">
        <w:rPr>
          <w:rFonts w:eastAsia="Times New Roman"/>
          <w:b/>
          <w:bCs/>
          <w:color w:val="auto"/>
        </w:rPr>
        <w:t>TANF/SNAP/</w:t>
      </w:r>
      <w:r w:rsidR="00F71A4D" w:rsidRPr="00F71A4D">
        <w:rPr>
          <w:rFonts w:eastAsia="Times New Roman"/>
          <w:b/>
          <w:bCs/>
          <w:color w:val="auto"/>
        </w:rPr>
        <w:t>Texas Works Medicaid</w:t>
      </w:r>
      <w:r w:rsidR="00F71A4D" w:rsidRPr="00F71A4D">
        <w:rPr>
          <w:rFonts w:eastAsia="Times New Roman"/>
          <w:color w:val="auto"/>
        </w:rPr>
        <w:t xml:space="preserve"> (Medicaid for low-income parents and caretaker relatives, pregnant women and children)</w:t>
      </w:r>
      <w:r w:rsidR="00F71A4D" w:rsidRPr="00F71A4D">
        <w:rPr>
          <w:rFonts w:eastAsia="Times New Roman"/>
          <w:b/>
          <w:bCs/>
          <w:color w:val="auto"/>
        </w:rPr>
        <w:t xml:space="preserve"> and CHIP</w:t>
      </w:r>
      <w:r w:rsidR="00F71A4D" w:rsidRPr="00F71A4D">
        <w:rPr>
          <w:rFonts w:eastAsia="Times New Roman"/>
          <w:color w:val="auto"/>
        </w:rPr>
        <w:t xml:space="preserve"> </w:t>
      </w:r>
      <w:r>
        <w:rPr>
          <w:rFonts w:eastAsia="Times New Roman"/>
          <w:color w:val="auto"/>
        </w:rPr>
        <w:t>:</w:t>
      </w:r>
    </w:p>
    <w:p w14:paraId="14A48861" w14:textId="771708FF" w:rsidR="00204623" w:rsidRDefault="00204623" w:rsidP="00261E59">
      <w:pPr>
        <w:pStyle w:val="xmsonormal"/>
        <w:numPr>
          <w:ilvl w:val="0"/>
          <w:numId w:val="7"/>
        </w:numPr>
        <w:shd w:val="clear" w:color="auto" w:fill="FFFFFF"/>
        <w:rPr>
          <w:rFonts w:eastAsia="Times New Roman"/>
          <w:color w:val="auto"/>
        </w:rPr>
      </w:pPr>
      <w:r>
        <w:rPr>
          <w:rFonts w:eastAsia="Times New Roman"/>
          <w:color w:val="auto"/>
        </w:rPr>
        <w:t xml:space="preserve">If </w:t>
      </w:r>
      <w:r w:rsidR="00313FFD">
        <w:rPr>
          <w:rFonts w:eastAsia="Times New Roman"/>
          <w:color w:val="auto"/>
        </w:rPr>
        <w:t>a</w:t>
      </w:r>
      <w:r>
        <w:rPr>
          <w:rFonts w:eastAsia="Times New Roman"/>
          <w:color w:val="auto"/>
        </w:rPr>
        <w:t xml:space="preserve"> donation is provided in a non-cash format such as a gift card or voucher </w:t>
      </w:r>
      <w:r w:rsidR="007E22F6">
        <w:rPr>
          <w:rFonts w:eastAsia="Times New Roman"/>
          <w:color w:val="auto"/>
        </w:rPr>
        <w:t>and</w:t>
      </w:r>
      <w:r>
        <w:rPr>
          <w:rFonts w:eastAsia="Times New Roman"/>
          <w:color w:val="auto"/>
        </w:rPr>
        <w:t xml:space="preserve"> the </w:t>
      </w:r>
      <w:r w:rsidR="007E22F6">
        <w:rPr>
          <w:rFonts w:eastAsia="Times New Roman"/>
          <w:color w:val="auto"/>
        </w:rPr>
        <w:t>person</w:t>
      </w:r>
      <w:r>
        <w:rPr>
          <w:rFonts w:eastAsia="Times New Roman"/>
          <w:color w:val="auto"/>
        </w:rPr>
        <w:t xml:space="preserve"> cannot obtain cash back, </w:t>
      </w:r>
      <w:r w:rsidRPr="009D785F">
        <w:rPr>
          <w:rFonts w:eastAsia="Times New Roman"/>
          <w:color w:val="auto"/>
        </w:rPr>
        <w:t>then the donation is exempt</w:t>
      </w:r>
      <w:r w:rsidR="00E04010">
        <w:rPr>
          <w:rFonts w:eastAsia="Times New Roman"/>
          <w:color w:val="auto"/>
        </w:rPr>
        <w:t>.</w:t>
      </w:r>
    </w:p>
    <w:p w14:paraId="0710A35E" w14:textId="4FBEF6AE" w:rsidR="00204623" w:rsidRDefault="00204623" w:rsidP="00261E59">
      <w:pPr>
        <w:pStyle w:val="xmsonormal"/>
        <w:numPr>
          <w:ilvl w:val="0"/>
          <w:numId w:val="7"/>
        </w:numPr>
        <w:shd w:val="clear" w:color="auto" w:fill="FFFFFF"/>
        <w:rPr>
          <w:rFonts w:eastAsia="Times New Roman"/>
          <w:color w:val="auto"/>
        </w:rPr>
      </w:pPr>
      <w:bookmarkStart w:id="3" w:name="_Hlk115261767"/>
      <w:r>
        <w:rPr>
          <w:rFonts w:eastAsia="Times New Roman"/>
          <w:color w:val="auto"/>
        </w:rPr>
        <w:t xml:space="preserve">If the donation is to pay for past or future expenses incurred by the household (that aren’t normal living expenses) such as medical bills, these payments are considered reimbursements </w:t>
      </w:r>
      <w:r w:rsidRPr="009D785F">
        <w:rPr>
          <w:rFonts w:eastAsia="Times New Roman"/>
          <w:color w:val="auto"/>
        </w:rPr>
        <w:t>and the donation is exempt.</w:t>
      </w:r>
    </w:p>
    <w:bookmarkEnd w:id="3"/>
    <w:p w14:paraId="2458147B" w14:textId="5D7ACBBF" w:rsidR="00204623" w:rsidRDefault="00204623" w:rsidP="00261E59">
      <w:pPr>
        <w:pStyle w:val="xmsonormal"/>
        <w:numPr>
          <w:ilvl w:val="0"/>
          <w:numId w:val="7"/>
        </w:numPr>
        <w:shd w:val="clear" w:color="auto" w:fill="FFFFFF"/>
        <w:rPr>
          <w:rFonts w:eastAsia="Times New Roman"/>
          <w:color w:val="auto"/>
        </w:rPr>
      </w:pPr>
      <w:r>
        <w:rPr>
          <w:rFonts w:eastAsia="Times New Roman"/>
          <w:color w:val="auto"/>
        </w:rPr>
        <w:t>If the payment is from any federal disaster programs or entities (for example FEMA or Red Cross), the payments</w:t>
      </w:r>
      <w:r w:rsidRPr="0062692E">
        <w:rPr>
          <w:rFonts w:eastAsia="Times New Roman"/>
          <w:color w:val="auto"/>
        </w:rPr>
        <w:t xml:space="preserve"> are exempt.</w:t>
      </w:r>
    </w:p>
    <w:p w14:paraId="62168986" w14:textId="77777777" w:rsidR="00204623" w:rsidRDefault="00204623" w:rsidP="00204623">
      <w:pPr>
        <w:pStyle w:val="xmsonormal"/>
        <w:shd w:val="clear" w:color="auto" w:fill="FFFFFF"/>
        <w:ind w:left="1080"/>
      </w:pPr>
      <w:r>
        <w:t> </w:t>
      </w:r>
    </w:p>
    <w:p w14:paraId="15A6C787" w14:textId="198562E6" w:rsidR="00204623" w:rsidRDefault="00204623" w:rsidP="00204623">
      <w:pPr>
        <w:pStyle w:val="xmsonormal"/>
        <w:numPr>
          <w:ilvl w:val="0"/>
          <w:numId w:val="8"/>
        </w:numPr>
        <w:shd w:val="clear" w:color="auto" w:fill="FFFFFF"/>
        <w:rPr>
          <w:rFonts w:eastAsia="Times New Roman"/>
          <w:color w:val="auto"/>
        </w:rPr>
      </w:pPr>
      <w:r>
        <w:rPr>
          <w:rFonts w:eastAsia="Times New Roman"/>
          <w:color w:val="auto"/>
        </w:rPr>
        <w:t xml:space="preserve">If </w:t>
      </w:r>
      <w:r w:rsidR="00F71A4D">
        <w:rPr>
          <w:rFonts w:eastAsia="Times New Roman"/>
          <w:color w:val="auto"/>
        </w:rPr>
        <w:t xml:space="preserve">a donation is </w:t>
      </w:r>
      <w:r>
        <w:rPr>
          <w:rFonts w:eastAsia="Times New Roman"/>
          <w:color w:val="auto"/>
        </w:rPr>
        <w:t>provided as cash, for:</w:t>
      </w:r>
    </w:p>
    <w:p w14:paraId="3A414475" w14:textId="41017E09" w:rsidR="00204623" w:rsidRDefault="00204623" w:rsidP="00204623">
      <w:pPr>
        <w:pStyle w:val="xmsonormal"/>
        <w:numPr>
          <w:ilvl w:val="1"/>
          <w:numId w:val="8"/>
        </w:numPr>
        <w:shd w:val="clear" w:color="auto" w:fill="FFFFFF"/>
        <w:rPr>
          <w:rFonts w:eastAsia="Times New Roman"/>
          <w:color w:val="auto"/>
        </w:rPr>
      </w:pPr>
      <w:r>
        <w:rPr>
          <w:rFonts w:eastAsia="Times New Roman"/>
          <w:b/>
          <w:bCs/>
          <w:color w:val="auto"/>
        </w:rPr>
        <w:t>TANF and SNAP</w:t>
      </w:r>
      <w:r>
        <w:rPr>
          <w:rFonts w:eastAsia="Times New Roman"/>
          <w:color w:val="auto"/>
        </w:rPr>
        <w:t>:</w:t>
      </w:r>
    </w:p>
    <w:p w14:paraId="74EC221B" w14:textId="77777777" w:rsidR="00204623" w:rsidRDefault="00204623" w:rsidP="00204623">
      <w:pPr>
        <w:pStyle w:val="xmsonormal"/>
        <w:numPr>
          <w:ilvl w:val="2"/>
          <w:numId w:val="8"/>
        </w:numPr>
        <w:shd w:val="clear" w:color="auto" w:fill="FFFFFF"/>
        <w:rPr>
          <w:rFonts w:eastAsia="Times New Roman"/>
          <w:color w:val="auto"/>
        </w:rPr>
      </w:pPr>
      <w:r>
        <w:rPr>
          <w:rFonts w:eastAsia="Times New Roman"/>
          <w:color w:val="auto"/>
        </w:rPr>
        <w:t xml:space="preserve">Up to $300 per quarter may be </w:t>
      </w:r>
      <w:r>
        <w:rPr>
          <w:rFonts w:eastAsia="Times New Roman"/>
          <w:i/>
          <w:iCs/>
          <w:color w:val="auto"/>
        </w:rPr>
        <w:t>exempted</w:t>
      </w:r>
      <w:r>
        <w:rPr>
          <w:rFonts w:eastAsia="Times New Roman"/>
          <w:color w:val="auto"/>
        </w:rPr>
        <w:t xml:space="preserve"> when the cash contributions are from a private non-profit organization based on need.</w:t>
      </w:r>
    </w:p>
    <w:p w14:paraId="21E54B57" w14:textId="77777777" w:rsidR="00204623" w:rsidRDefault="00204623" w:rsidP="00204623">
      <w:pPr>
        <w:pStyle w:val="xmsonormal"/>
        <w:numPr>
          <w:ilvl w:val="3"/>
          <w:numId w:val="8"/>
        </w:numPr>
        <w:shd w:val="clear" w:color="auto" w:fill="FFFFFF"/>
        <w:rPr>
          <w:rFonts w:eastAsia="Times New Roman"/>
          <w:color w:val="auto"/>
        </w:rPr>
      </w:pPr>
      <w:r>
        <w:rPr>
          <w:rFonts w:eastAsia="Times New Roman"/>
          <w:color w:val="auto"/>
        </w:rPr>
        <w:t xml:space="preserve">Any excess is counted as unearned income in the month received. </w:t>
      </w:r>
    </w:p>
    <w:p w14:paraId="20B20563" w14:textId="77777777" w:rsidR="00F17C19" w:rsidRDefault="00204623" w:rsidP="00F17C19">
      <w:pPr>
        <w:pStyle w:val="xmsonormal"/>
        <w:numPr>
          <w:ilvl w:val="2"/>
          <w:numId w:val="8"/>
        </w:numPr>
        <w:shd w:val="clear" w:color="auto" w:fill="FFFFFF"/>
        <w:rPr>
          <w:rFonts w:eastAsia="Times New Roman"/>
          <w:color w:val="auto"/>
        </w:rPr>
      </w:pPr>
      <w:r>
        <w:rPr>
          <w:rFonts w:eastAsia="Times New Roman"/>
          <w:color w:val="auto"/>
        </w:rPr>
        <w:t xml:space="preserve">Any income deposited in a bank account that is accessible to the household would be counted as a resource in the month after receipt. </w:t>
      </w:r>
    </w:p>
    <w:p w14:paraId="20967B07" w14:textId="411E1DEB" w:rsidR="00204623" w:rsidRPr="00F17C19" w:rsidRDefault="00FA22DF" w:rsidP="00F17C19">
      <w:pPr>
        <w:pStyle w:val="xmsonormal"/>
        <w:numPr>
          <w:ilvl w:val="1"/>
          <w:numId w:val="8"/>
        </w:numPr>
        <w:shd w:val="clear" w:color="auto" w:fill="FFFFFF"/>
        <w:rPr>
          <w:rFonts w:eastAsia="Times New Roman"/>
          <w:color w:val="auto"/>
        </w:rPr>
      </w:pPr>
      <w:r>
        <w:rPr>
          <w:rFonts w:eastAsia="Times New Roman"/>
          <w:b/>
          <w:bCs/>
        </w:rPr>
        <w:t xml:space="preserve">Texas Works </w:t>
      </w:r>
      <w:r w:rsidR="00204623" w:rsidRPr="00F17C19">
        <w:rPr>
          <w:rFonts w:eastAsia="Times New Roman"/>
          <w:b/>
          <w:bCs/>
        </w:rPr>
        <w:t>Medicaid</w:t>
      </w:r>
      <w:r w:rsidR="00204623" w:rsidRPr="0062692E">
        <w:rPr>
          <w:rFonts w:eastAsia="Times New Roman"/>
        </w:rPr>
        <w:t xml:space="preserve"> </w:t>
      </w:r>
      <w:r w:rsidR="0062692E" w:rsidRPr="0062692E">
        <w:rPr>
          <w:rFonts w:eastAsia="Times New Roman"/>
        </w:rPr>
        <w:t>(</w:t>
      </w:r>
      <w:r w:rsidR="009A61F5">
        <w:rPr>
          <w:rFonts w:eastAsia="Times New Roman"/>
        </w:rPr>
        <w:t>Medicaid for l</w:t>
      </w:r>
      <w:r w:rsidR="0062692E" w:rsidRPr="0062692E">
        <w:rPr>
          <w:rFonts w:eastAsia="Times New Roman"/>
        </w:rPr>
        <w:t xml:space="preserve">ow-income </w:t>
      </w:r>
      <w:r w:rsidR="009A61F5">
        <w:rPr>
          <w:rFonts w:eastAsia="Times New Roman"/>
        </w:rPr>
        <w:t>parents and caretaker relatives</w:t>
      </w:r>
      <w:r w:rsidR="0062692E" w:rsidRPr="0062692E">
        <w:rPr>
          <w:rFonts w:eastAsia="Times New Roman"/>
        </w:rPr>
        <w:t>, pregnant women and children)</w:t>
      </w:r>
      <w:r w:rsidR="0062692E">
        <w:rPr>
          <w:rFonts w:eastAsia="Times New Roman"/>
          <w:b/>
          <w:bCs/>
        </w:rPr>
        <w:t xml:space="preserve"> </w:t>
      </w:r>
      <w:r w:rsidR="00204623" w:rsidRPr="00F17C19">
        <w:rPr>
          <w:rFonts w:eastAsia="Times New Roman"/>
          <w:b/>
          <w:bCs/>
        </w:rPr>
        <w:t>and CHIP</w:t>
      </w:r>
      <w:r w:rsidR="00204623" w:rsidRPr="00F17C19">
        <w:rPr>
          <w:rFonts w:eastAsia="Times New Roman"/>
        </w:rPr>
        <w:t xml:space="preserve">: </w:t>
      </w:r>
    </w:p>
    <w:p w14:paraId="47FA7384" w14:textId="77777777" w:rsidR="00204623" w:rsidRDefault="00204623" w:rsidP="00204623">
      <w:pPr>
        <w:pStyle w:val="xmsonormal"/>
        <w:numPr>
          <w:ilvl w:val="2"/>
          <w:numId w:val="8"/>
        </w:numPr>
        <w:shd w:val="clear" w:color="auto" w:fill="FFFFFF"/>
        <w:rPr>
          <w:rFonts w:eastAsia="Times New Roman"/>
          <w:color w:val="auto"/>
        </w:rPr>
      </w:pPr>
      <w:r>
        <w:rPr>
          <w:rFonts w:eastAsia="Times New Roman"/>
          <w:color w:val="auto"/>
        </w:rPr>
        <w:t>Non-taxable cash payments are exempt unless the payment is:</w:t>
      </w:r>
    </w:p>
    <w:p w14:paraId="6E2E5CBA" w14:textId="77777777" w:rsidR="00204623" w:rsidRDefault="00204623" w:rsidP="00204623">
      <w:pPr>
        <w:pStyle w:val="xmsonormal"/>
        <w:numPr>
          <w:ilvl w:val="3"/>
          <w:numId w:val="8"/>
        </w:numPr>
        <w:shd w:val="clear" w:color="auto" w:fill="FFFFFF"/>
        <w:rPr>
          <w:rFonts w:eastAsia="Times New Roman"/>
          <w:color w:val="auto"/>
        </w:rPr>
      </w:pPr>
      <w:r>
        <w:rPr>
          <w:rFonts w:eastAsia="Times New Roman"/>
          <w:color w:val="auto"/>
        </w:rPr>
        <w:t>paid from a tax payer to their tax dependent;</w:t>
      </w:r>
    </w:p>
    <w:p w14:paraId="03A83A3E" w14:textId="77777777" w:rsidR="00204623" w:rsidRDefault="00204623" w:rsidP="00204623">
      <w:pPr>
        <w:pStyle w:val="xmsonormal"/>
        <w:numPr>
          <w:ilvl w:val="3"/>
          <w:numId w:val="8"/>
        </w:numPr>
        <w:shd w:val="clear" w:color="auto" w:fill="FFFFFF"/>
        <w:rPr>
          <w:rFonts w:eastAsia="Times New Roman"/>
          <w:color w:val="auto"/>
        </w:rPr>
      </w:pPr>
      <w:r>
        <w:rPr>
          <w:rFonts w:eastAsia="Times New Roman"/>
          <w:color w:val="auto"/>
        </w:rPr>
        <w:t>given by a tax payer who is not the receiver's spouse or parent; and</w:t>
      </w:r>
    </w:p>
    <w:p w14:paraId="7CFA3869" w14:textId="77777777" w:rsidR="00F17C19" w:rsidRDefault="00204623" w:rsidP="00F17C19">
      <w:pPr>
        <w:pStyle w:val="xmsonormal"/>
        <w:numPr>
          <w:ilvl w:val="3"/>
          <w:numId w:val="8"/>
        </w:numPr>
        <w:shd w:val="clear" w:color="auto" w:fill="FFFFFF"/>
        <w:rPr>
          <w:rFonts w:eastAsia="Times New Roman"/>
          <w:color w:val="auto"/>
        </w:rPr>
      </w:pPr>
      <w:r>
        <w:rPr>
          <w:rFonts w:eastAsia="Times New Roman"/>
          <w:color w:val="auto"/>
        </w:rPr>
        <w:t>total amount exceeds $50/month.</w:t>
      </w:r>
    </w:p>
    <w:p w14:paraId="0F494ECB" w14:textId="0F0CB41E" w:rsidR="00204623" w:rsidRPr="00F17C19" w:rsidRDefault="00204623" w:rsidP="00261E59">
      <w:pPr>
        <w:pStyle w:val="xmsonormal"/>
        <w:shd w:val="clear" w:color="auto" w:fill="FFFFFF"/>
        <w:ind w:left="360"/>
        <w:rPr>
          <w:rFonts w:eastAsia="Times New Roman"/>
          <w:color w:val="auto"/>
        </w:rPr>
      </w:pPr>
      <w:r w:rsidRPr="00F17C19">
        <w:rPr>
          <w:rFonts w:eastAsia="Times New Roman"/>
          <w:b/>
          <w:bCs/>
        </w:rPr>
        <w:t>M</w:t>
      </w:r>
      <w:r w:rsidR="00FA22DF">
        <w:rPr>
          <w:rFonts w:eastAsia="Times New Roman"/>
          <w:b/>
          <w:bCs/>
        </w:rPr>
        <w:t>edicaid for the Elderly a</w:t>
      </w:r>
      <w:r w:rsidR="009C3D91">
        <w:rPr>
          <w:rFonts w:eastAsia="Times New Roman"/>
          <w:b/>
          <w:bCs/>
        </w:rPr>
        <w:t>nd People with Disabilities (M</w:t>
      </w:r>
      <w:r w:rsidRPr="00F17C19">
        <w:rPr>
          <w:rFonts w:eastAsia="Times New Roman"/>
          <w:b/>
          <w:bCs/>
        </w:rPr>
        <w:t>EPD</w:t>
      </w:r>
      <w:r w:rsidR="009C3D91">
        <w:rPr>
          <w:rFonts w:eastAsia="Times New Roman"/>
          <w:b/>
          <w:bCs/>
        </w:rPr>
        <w:t>)</w:t>
      </w:r>
      <w:r w:rsidR="001D2476" w:rsidRPr="001D2476">
        <w:rPr>
          <w:rFonts w:eastAsia="Times New Roman"/>
        </w:rPr>
        <w:t xml:space="preserve"> </w:t>
      </w:r>
      <w:bookmarkStart w:id="4" w:name="_Hlk115261570"/>
      <w:r w:rsidR="001D2476" w:rsidRPr="001D2476">
        <w:rPr>
          <w:rFonts w:eastAsia="Times New Roman"/>
        </w:rPr>
        <w:t>(Medicaid for persons who are aged, blind or disabled</w:t>
      </w:r>
      <w:r w:rsidR="007E22F6">
        <w:rPr>
          <w:rFonts w:eastAsia="Times New Roman"/>
        </w:rPr>
        <w:t>, including Medicare Savings Programs</w:t>
      </w:r>
      <w:r w:rsidR="001D2476" w:rsidRPr="001D2476">
        <w:rPr>
          <w:rFonts w:eastAsia="Times New Roman"/>
        </w:rPr>
        <w:t>)</w:t>
      </w:r>
      <w:r w:rsidRPr="00F17C19">
        <w:rPr>
          <w:rFonts w:eastAsia="Times New Roman"/>
          <w:b/>
          <w:bCs/>
        </w:rPr>
        <w:t xml:space="preserve">: </w:t>
      </w:r>
    </w:p>
    <w:p w14:paraId="0A6080EA" w14:textId="2133953C" w:rsidR="00204623" w:rsidRPr="00261E59" w:rsidRDefault="00204623" w:rsidP="00F71A4D">
      <w:pPr>
        <w:pStyle w:val="xmsolistparagraph"/>
        <w:numPr>
          <w:ilvl w:val="0"/>
          <w:numId w:val="8"/>
        </w:numPr>
        <w:shd w:val="clear" w:color="auto" w:fill="FFFFFF"/>
        <w:rPr>
          <w:rFonts w:eastAsia="Times New Roman"/>
          <w:color w:val="auto"/>
        </w:rPr>
      </w:pPr>
      <w:r>
        <w:rPr>
          <w:rFonts w:eastAsia="Times New Roman"/>
        </w:rPr>
        <w:lastRenderedPageBreak/>
        <w:t>Donations</w:t>
      </w:r>
      <w:r w:rsidR="00F71A4D">
        <w:rPr>
          <w:rFonts w:eastAsia="Times New Roman"/>
        </w:rPr>
        <w:t>,</w:t>
      </w:r>
      <w:r>
        <w:rPr>
          <w:rFonts w:eastAsia="Times New Roman"/>
        </w:rPr>
        <w:t xml:space="preserve"> unless otherwise exempt</w:t>
      </w:r>
      <w:r w:rsidR="00F71A4D">
        <w:rPr>
          <w:rFonts w:eastAsia="Times New Roman"/>
        </w:rPr>
        <w:t>,</w:t>
      </w:r>
      <w:r>
        <w:rPr>
          <w:rFonts w:eastAsia="Times New Roman"/>
        </w:rPr>
        <w:t xml:space="preserve"> are countable in the month received and any remaining income as a resource in the following months, if unspent.</w:t>
      </w:r>
    </w:p>
    <w:p w14:paraId="0DDF43E7" w14:textId="43C92EB1" w:rsidR="00F71A4D" w:rsidRPr="00261E59" w:rsidRDefault="00F71A4D" w:rsidP="00374855">
      <w:pPr>
        <w:pStyle w:val="ListParagraph"/>
        <w:numPr>
          <w:ilvl w:val="0"/>
          <w:numId w:val="8"/>
        </w:numPr>
        <w:shd w:val="clear" w:color="auto" w:fill="FFFFFF"/>
        <w:rPr>
          <w:rFonts w:eastAsia="Times New Roman"/>
        </w:rPr>
      </w:pPr>
      <w:r w:rsidRPr="00F71A4D">
        <w:rPr>
          <w:rFonts w:ascii="Verdana" w:eastAsia="Times New Roman" w:hAnsi="Verdana" w:cs="Calibri"/>
          <w:sz w:val="24"/>
          <w:szCs w:val="24"/>
        </w:rPr>
        <w:t xml:space="preserve">If the donation is </w:t>
      </w:r>
      <w:r w:rsidR="007E22F6">
        <w:rPr>
          <w:rFonts w:ascii="Verdana" w:eastAsia="Times New Roman" w:hAnsi="Verdana" w:cs="Calibri"/>
          <w:sz w:val="24"/>
          <w:szCs w:val="24"/>
        </w:rPr>
        <w:t xml:space="preserve">used </w:t>
      </w:r>
      <w:r w:rsidRPr="00F71A4D">
        <w:rPr>
          <w:rFonts w:ascii="Verdana" w:eastAsia="Times New Roman" w:hAnsi="Verdana" w:cs="Calibri"/>
          <w:sz w:val="24"/>
          <w:szCs w:val="24"/>
        </w:rPr>
        <w:t xml:space="preserve">to pay for past or future expenses </w:t>
      </w:r>
      <w:r>
        <w:rPr>
          <w:rFonts w:ascii="Verdana" w:eastAsia="Times New Roman" w:hAnsi="Verdana" w:cs="Calibri"/>
          <w:sz w:val="24"/>
          <w:szCs w:val="24"/>
        </w:rPr>
        <w:t xml:space="preserve">already </w:t>
      </w:r>
      <w:r w:rsidRPr="00F71A4D">
        <w:rPr>
          <w:rFonts w:ascii="Verdana" w:eastAsia="Times New Roman" w:hAnsi="Verdana" w:cs="Calibri"/>
          <w:sz w:val="24"/>
          <w:szCs w:val="24"/>
        </w:rPr>
        <w:t>incurred by the household (that aren’t normal living expenses) such as medical bills, these payments are considered reimbursements and the donation is exempt.</w:t>
      </w:r>
    </w:p>
    <w:p w14:paraId="7FCFE6AA" w14:textId="714DC19F" w:rsidR="00F71A4D" w:rsidRPr="00261E59" w:rsidRDefault="00F71A4D" w:rsidP="00261E59">
      <w:pPr>
        <w:pStyle w:val="ListParagraph"/>
        <w:numPr>
          <w:ilvl w:val="0"/>
          <w:numId w:val="8"/>
        </w:numPr>
        <w:shd w:val="clear" w:color="auto" w:fill="FFFFFF"/>
        <w:rPr>
          <w:rFonts w:eastAsia="Times New Roman"/>
        </w:rPr>
      </w:pPr>
      <w:r w:rsidRPr="00261E59">
        <w:rPr>
          <w:rFonts w:eastAsia="Times New Roman"/>
          <w:sz w:val="24"/>
          <w:szCs w:val="24"/>
        </w:rPr>
        <w:t xml:space="preserve">If the </w:t>
      </w:r>
      <w:r w:rsidR="007E22F6">
        <w:rPr>
          <w:rFonts w:eastAsia="Times New Roman"/>
          <w:sz w:val="24"/>
          <w:szCs w:val="24"/>
        </w:rPr>
        <w:t>person</w:t>
      </w:r>
      <w:r w:rsidRPr="00261E59">
        <w:rPr>
          <w:rFonts w:eastAsia="Times New Roman"/>
          <w:sz w:val="24"/>
          <w:szCs w:val="24"/>
        </w:rPr>
        <w:t xml:space="preserve"> is receiving SSI, </w:t>
      </w:r>
      <w:r w:rsidR="007E22F6">
        <w:rPr>
          <w:rFonts w:eastAsia="Times New Roman"/>
          <w:sz w:val="24"/>
          <w:szCs w:val="24"/>
        </w:rPr>
        <w:t>contact</w:t>
      </w:r>
      <w:r w:rsidRPr="00261E59">
        <w:rPr>
          <w:rFonts w:eastAsia="Times New Roman"/>
          <w:sz w:val="24"/>
          <w:szCs w:val="24"/>
        </w:rPr>
        <w:t xml:space="preserve"> SSA </w:t>
      </w:r>
      <w:r w:rsidR="007E22F6">
        <w:rPr>
          <w:rFonts w:eastAsia="Times New Roman"/>
          <w:sz w:val="24"/>
          <w:szCs w:val="24"/>
        </w:rPr>
        <w:t>to determine</w:t>
      </w:r>
      <w:r w:rsidRPr="00261E59">
        <w:rPr>
          <w:rFonts w:eastAsia="Times New Roman"/>
          <w:sz w:val="24"/>
          <w:szCs w:val="24"/>
        </w:rPr>
        <w:t xml:space="preserve"> the impact of the funds </w:t>
      </w:r>
      <w:r w:rsidR="003869E5">
        <w:rPr>
          <w:rFonts w:eastAsia="Times New Roman"/>
          <w:sz w:val="24"/>
          <w:szCs w:val="24"/>
        </w:rPr>
        <w:t>on</w:t>
      </w:r>
      <w:r w:rsidRPr="00261E59">
        <w:rPr>
          <w:rFonts w:eastAsia="Times New Roman"/>
          <w:sz w:val="24"/>
          <w:szCs w:val="24"/>
        </w:rPr>
        <w:t xml:space="preserve"> the</w:t>
      </w:r>
      <w:r w:rsidR="003869E5">
        <w:rPr>
          <w:rFonts w:eastAsia="Times New Roman"/>
          <w:sz w:val="24"/>
          <w:szCs w:val="24"/>
        </w:rPr>
        <w:t>ir</w:t>
      </w:r>
      <w:r w:rsidRPr="00261E59">
        <w:rPr>
          <w:rFonts w:eastAsia="Times New Roman"/>
          <w:sz w:val="24"/>
          <w:szCs w:val="24"/>
        </w:rPr>
        <w:t xml:space="preserve"> </w:t>
      </w:r>
      <w:r w:rsidR="003869E5">
        <w:rPr>
          <w:rFonts w:eastAsia="Times New Roman"/>
          <w:sz w:val="24"/>
          <w:szCs w:val="24"/>
        </w:rPr>
        <w:t>benefits</w:t>
      </w:r>
      <w:r w:rsidRPr="00261E59">
        <w:rPr>
          <w:rFonts w:eastAsia="Times New Roman"/>
          <w:sz w:val="24"/>
          <w:szCs w:val="24"/>
        </w:rPr>
        <w:t>.</w:t>
      </w:r>
    </w:p>
    <w:bookmarkEnd w:id="4"/>
    <w:p w14:paraId="1A3A5233" w14:textId="339996EF" w:rsidR="00745332" w:rsidRDefault="00745332" w:rsidP="00745332">
      <w:pPr>
        <w:pStyle w:val="Heading2"/>
      </w:pPr>
      <w:r>
        <w:t>Trusts</w:t>
      </w:r>
    </w:p>
    <w:p w14:paraId="5EC467A2" w14:textId="68B2E2B2" w:rsidR="007E22F6" w:rsidRDefault="007E22F6" w:rsidP="00FB04C5">
      <w:pPr>
        <w:rPr>
          <w:sz w:val="24"/>
          <w:szCs w:val="24"/>
        </w:rPr>
      </w:pPr>
      <w:r w:rsidRPr="007E22F6">
        <w:rPr>
          <w:sz w:val="24"/>
          <w:szCs w:val="24"/>
        </w:rPr>
        <w:t>A trust is a relationship where property is held by one party (a person, a bank, a group of people) for the benefit of someone else.</w:t>
      </w:r>
      <w:r w:rsidRPr="007E22F6">
        <w:rPr>
          <w:rFonts w:ascii="Verdana" w:hAnsi="Verdana" w:cs="Calibri"/>
          <w:color w:val="000000"/>
          <w:sz w:val="24"/>
          <w:szCs w:val="24"/>
        </w:rPr>
        <w:t xml:space="preserve"> </w:t>
      </w:r>
      <w:r w:rsidRPr="007E22F6">
        <w:rPr>
          <w:sz w:val="24"/>
          <w:szCs w:val="24"/>
        </w:rPr>
        <w:t>Every trust has a beneficiary and a trustee. The beneficiary is the person that the trust is set up to support, and the trustee is the person who makes decisions about how the money is spent. The trustee can be anyone, but typically is a spouse, parent or guardian, financial institution, or a person’s power of attorney.</w:t>
      </w:r>
    </w:p>
    <w:p w14:paraId="15B8A431" w14:textId="77777777" w:rsidR="007E22F6" w:rsidRPr="00261E59" w:rsidRDefault="007E22F6" w:rsidP="00FB04C5">
      <w:pPr>
        <w:rPr>
          <w:sz w:val="24"/>
          <w:szCs w:val="24"/>
        </w:rPr>
      </w:pPr>
    </w:p>
    <w:p w14:paraId="264019FB" w14:textId="7ECB77EB" w:rsidR="00FB04C5" w:rsidRPr="001834EA" w:rsidRDefault="00FB04C5" w:rsidP="00FB04C5">
      <w:pPr>
        <w:rPr>
          <w:b/>
          <w:bCs/>
          <w:sz w:val="24"/>
          <w:szCs w:val="24"/>
          <w:u w:val="single"/>
        </w:rPr>
      </w:pPr>
      <w:r w:rsidRPr="001834EA">
        <w:rPr>
          <w:b/>
          <w:bCs/>
          <w:sz w:val="24"/>
          <w:szCs w:val="24"/>
          <w:u w:val="single"/>
        </w:rPr>
        <w:t xml:space="preserve">Recipient is the </w:t>
      </w:r>
      <w:r w:rsidR="001834EA">
        <w:rPr>
          <w:b/>
          <w:bCs/>
          <w:sz w:val="24"/>
          <w:szCs w:val="24"/>
          <w:u w:val="single"/>
        </w:rPr>
        <w:t>T</w:t>
      </w:r>
      <w:r w:rsidRPr="001834EA">
        <w:rPr>
          <w:b/>
          <w:bCs/>
          <w:sz w:val="24"/>
          <w:szCs w:val="24"/>
          <w:u w:val="single"/>
        </w:rPr>
        <w:t xml:space="preserve">rust </w:t>
      </w:r>
      <w:r w:rsidR="001834EA">
        <w:rPr>
          <w:b/>
          <w:bCs/>
          <w:sz w:val="24"/>
          <w:szCs w:val="24"/>
          <w:u w:val="single"/>
        </w:rPr>
        <w:t>B</w:t>
      </w:r>
      <w:r w:rsidRPr="001834EA">
        <w:rPr>
          <w:b/>
          <w:bCs/>
          <w:sz w:val="24"/>
          <w:szCs w:val="24"/>
          <w:u w:val="single"/>
        </w:rPr>
        <w:t>eneficiary</w:t>
      </w:r>
    </w:p>
    <w:p w14:paraId="797BF248" w14:textId="77777777" w:rsidR="00FB04C5" w:rsidRPr="00FB04C5" w:rsidRDefault="00FB04C5" w:rsidP="00FB04C5">
      <w:pPr>
        <w:rPr>
          <w:b/>
          <w:bCs/>
          <w:i/>
          <w:iCs/>
        </w:rPr>
      </w:pPr>
    </w:p>
    <w:p w14:paraId="163FB302" w14:textId="686B1B27" w:rsidR="00CE6D7A" w:rsidRDefault="00CE6D7A" w:rsidP="00CE6D7A">
      <w:pPr>
        <w:pStyle w:val="xmsonormal"/>
        <w:numPr>
          <w:ilvl w:val="0"/>
          <w:numId w:val="9"/>
        </w:numPr>
        <w:shd w:val="clear" w:color="auto" w:fill="FFFFFF"/>
        <w:rPr>
          <w:rFonts w:eastAsia="Times New Roman"/>
          <w:color w:val="auto"/>
        </w:rPr>
      </w:pPr>
      <w:r>
        <w:rPr>
          <w:rFonts w:eastAsia="Times New Roman"/>
          <w:color w:val="auto"/>
        </w:rPr>
        <w:t xml:space="preserve">For </w:t>
      </w:r>
      <w:r>
        <w:rPr>
          <w:rFonts w:eastAsia="Times New Roman"/>
          <w:b/>
          <w:bCs/>
          <w:color w:val="auto"/>
        </w:rPr>
        <w:t>All Programs</w:t>
      </w:r>
      <w:r>
        <w:rPr>
          <w:rFonts w:eastAsia="Times New Roman"/>
          <w:color w:val="auto"/>
        </w:rPr>
        <w:t xml:space="preserve"> (TANF/SNAP/</w:t>
      </w:r>
      <w:r w:rsidR="00F71A4D">
        <w:rPr>
          <w:rFonts w:eastAsia="Times New Roman"/>
          <w:color w:val="auto"/>
        </w:rPr>
        <w:t xml:space="preserve">all </w:t>
      </w:r>
      <w:r>
        <w:rPr>
          <w:rFonts w:eastAsia="Times New Roman"/>
          <w:color w:val="auto"/>
        </w:rPr>
        <w:t>Medicaid/CHIP):</w:t>
      </w:r>
    </w:p>
    <w:p w14:paraId="60FB574F" w14:textId="282A4557" w:rsidR="00CE6D7A" w:rsidRDefault="00CE6D7A" w:rsidP="00CE6D7A">
      <w:pPr>
        <w:pStyle w:val="xmsonormal"/>
        <w:numPr>
          <w:ilvl w:val="1"/>
          <w:numId w:val="9"/>
        </w:numPr>
        <w:shd w:val="clear" w:color="auto" w:fill="FFFFFF"/>
        <w:rPr>
          <w:rFonts w:eastAsia="Times New Roman"/>
          <w:color w:val="auto"/>
        </w:rPr>
      </w:pPr>
      <w:r>
        <w:rPr>
          <w:rFonts w:eastAsia="Times New Roman"/>
          <w:color w:val="auto"/>
        </w:rPr>
        <w:t>If the funds are placed in an irrevocable trust</w:t>
      </w:r>
      <w:r w:rsidR="00C067B7">
        <w:rPr>
          <w:rFonts w:eastAsia="Times New Roman"/>
          <w:color w:val="auto"/>
        </w:rPr>
        <w:t xml:space="preserve"> (not legally available)</w:t>
      </w:r>
      <w:r>
        <w:rPr>
          <w:rFonts w:eastAsia="Times New Roman"/>
          <w:color w:val="auto"/>
        </w:rPr>
        <w:t>,</w:t>
      </w:r>
      <w:r w:rsidRPr="009D785F">
        <w:rPr>
          <w:rFonts w:eastAsia="Times New Roman"/>
          <w:color w:val="auto"/>
        </w:rPr>
        <w:t xml:space="preserve"> then the balance</w:t>
      </w:r>
      <w:r w:rsidR="00C067B7" w:rsidRPr="009D785F">
        <w:rPr>
          <w:rFonts w:eastAsia="Times New Roman"/>
          <w:color w:val="auto"/>
        </w:rPr>
        <w:t xml:space="preserve"> of the trust</w:t>
      </w:r>
      <w:r w:rsidRPr="009D785F">
        <w:rPr>
          <w:rFonts w:eastAsia="Times New Roman"/>
          <w:color w:val="auto"/>
        </w:rPr>
        <w:t xml:space="preserve"> is exempt</w:t>
      </w:r>
      <w:r w:rsidR="00C067B7" w:rsidRPr="009D785F">
        <w:rPr>
          <w:rFonts w:eastAsia="Times New Roman"/>
          <w:color w:val="auto"/>
        </w:rPr>
        <w:t xml:space="preserve"> from resources</w:t>
      </w:r>
      <w:r>
        <w:rPr>
          <w:rFonts w:eastAsia="Times New Roman"/>
          <w:color w:val="auto"/>
        </w:rPr>
        <w:t>.</w:t>
      </w:r>
    </w:p>
    <w:p w14:paraId="78B2F005" w14:textId="240E8B12" w:rsidR="00FC4CA5" w:rsidRDefault="00FC4CA5" w:rsidP="00FC4CA5">
      <w:pPr>
        <w:pStyle w:val="xmsonormal"/>
        <w:numPr>
          <w:ilvl w:val="0"/>
          <w:numId w:val="9"/>
        </w:numPr>
        <w:shd w:val="clear" w:color="auto" w:fill="FFFFFF"/>
        <w:rPr>
          <w:rFonts w:eastAsia="Times New Roman"/>
          <w:color w:val="auto"/>
        </w:rPr>
      </w:pPr>
      <w:r>
        <w:rPr>
          <w:rFonts w:eastAsia="Times New Roman"/>
          <w:color w:val="auto"/>
        </w:rPr>
        <w:t xml:space="preserve">For </w:t>
      </w:r>
      <w:r w:rsidRPr="00E670C4">
        <w:rPr>
          <w:rFonts w:eastAsia="Times New Roman"/>
          <w:b/>
          <w:bCs/>
          <w:color w:val="auto"/>
        </w:rPr>
        <w:t>SNAP and TANF</w:t>
      </w:r>
      <w:r>
        <w:rPr>
          <w:rFonts w:eastAsia="Times New Roman"/>
          <w:color w:val="auto"/>
        </w:rPr>
        <w:t>:</w:t>
      </w:r>
    </w:p>
    <w:p w14:paraId="740A4C38" w14:textId="3737B1B6" w:rsidR="009B0990" w:rsidRPr="009B0990" w:rsidRDefault="009B0990" w:rsidP="009B0990">
      <w:pPr>
        <w:numPr>
          <w:ilvl w:val="1"/>
          <w:numId w:val="9"/>
        </w:numPr>
        <w:rPr>
          <w:rFonts w:eastAsia="Times New Roman"/>
          <w:sz w:val="24"/>
          <w:szCs w:val="24"/>
        </w:rPr>
      </w:pPr>
      <w:r w:rsidRPr="009B0990">
        <w:rPr>
          <w:rFonts w:eastAsia="Times New Roman"/>
          <w:sz w:val="24"/>
          <w:szCs w:val="24"/>
        </w:rPr>
        <w:t>Income paid directly to the trust beneficiary</w:t>
      </w:r>
      <w:r w:rsidR="003D1C4F">
        <w:rPr>
          <w:rFonts w:eastAsia="Times New Roman"/>
          <w:sz w:val="24"/>
          <w:szCs w:val="24"/>
        </w:rPr>
        <w:t xml:space="preserve"> from the trust</w:t>
      </w:r>
      <w:r w:rsidRPr="009B0990">
        <w:rPr>
          <w:rFonts w:eastAsia="Times New Roman"/>
          <w:sz w:val="24"/>
          <w:szCs w:val="24"/>
        </w:rPr>
        <w:t xml:space="preserve"> is considered unearned income in the month of receipt.</w:t>
      </w:r>
    </w:p>
    <w:p w14:paraId="7881C2CF" w14:textId="0C4CA95F" w:rsidR="00932656" w:rsidRPr="00932656" w:rsidRDefault="00932656" w:rsidP="00932656">
      <w:pPr>
        <w:pStyle w:val="xmsonormal"/>
        <w:numPr>
          <w:ilvl w:val="1"/>
          <w:numId w:val="9"/>
        </w:numPr>
        <w:shd w:val="clear" w:color="auto" w:fill="FFFFFF"/>
        <w:rPr>
          <w:rFonts w:eastAsia="Times New Roman"/>
          <w:color w:val="auto"/>
        </w:rPr>
      </w:pPr>
      <w:r w:rsidRPr="00932656">
        <w:rPr>
          <w:rFonts w:eastAsia="Times New Roman"/>
          <w:color w:val="auto"/>
        </w:rPr>
        <w:t>Trust funds are exempt as a resource if the following conditions are met:</w:t>
      </w:r>
    </w:p>
    <w:p w14:paraId="251B7C08" w14:textId="1BB51D44" w:rsidR="00932656" w:rsidRPr="00932656" w:rsidRDefault="00932656" w:rsidP="00932656">
      <w:pPr>
        <w:pStyle w:val="xmsonormal"/>
        <w:numPr>
          <w:ilvl w:val="2"/>
          <w:numId w:val="9"/>
        </w:numPr>
        <w:shd w:val="clear" w:color="auto" w:fill="FFFFFF"/>
        <w:rPr>
          <w:rFonts w:eastAsia="Times New Roman"/>
          <w:color w:val="auto"/>
        </w:rPr>
      </w:pPr>
      <w:r w:rsidRPr="00932656">
        <w:rPr>
          <w:rFonts w:eastAsia="Times New Roman"/>
          <w:color w:val="auto"/>
        </w:rPr>
        <w:t>The trust arrangement is unlikely to end during the certification period and cannot be revoked or changed by a household member during the certification period.</w:t>
      </w:r>
    </w:p>
    <w:p w14:paraId="2A720A10" w14:textId="6A8D0678" w:rsidR="00932656" w:rsidRPr="00932656" w:rsidRDefault="00932656" w:rsidP="00932656">
      <w:pPr>
        <w:pStyle w:val="xmsonormal"/>
        <w:numPr>
          <w:ilvl w:val="2"/>
          <w:numId w:val="9"/>
        </w:numPr>
        <w:shd w:val="clear" w:color="auto" w:fill="FFFFFF"/>
        <w:rPr>
          <w:rFonts w:eastAsia="Times New Roman"/>
          <w:color w:val="auto"/>
        </w:rPr>
      </w:pPr>
      <w:r w:rsidRPr="00932656">
        <w:rPr>
          <w:rFonts w:eastAsia="Times New Roman"/>
          <w:color w:val="auto"/>
        </w:rPr>
        <w:t>The trustee is a:</w:t>
      </w:r>
    </w:p>
    <w:p w14:paraId="73F8C267" w14:textId="7D1A6D65" w:rsidR="00932656" w:rsidRPr="00932656" w:rsidRDefault="00932656" w:rsidP="00932656">
      <w:pPr>
        <w:pStyle w:val="xmsonormal"/>
        <w:numPr>
          <w:ilvl w:val="3"/>
          <w:numId w:val="9"/>
        </w:numPr>
        <w:shd w:val="clear" w:color="auto" w:fill="FFFFFF"/>
        <w:rPr>
          <w:rFonts w:eastAsia="Times New Roman"/>
          <w:color w:val="auto"/>
        </w:rPr>
      </w:pPr>
      <w:r w:rsidRPr="00932656">
        <w:rPr>
          <w:rFonts w:eastAsia="Times New Roman"/>
          <w:color w:val="auto"/>
        </w:rPr>
        <w:t>court, institution, corporation, or organization not under the direction or ownership of a household member; or</w:t>
      </w:r>
    </w:p>
    <w:p w14:paraId="2946EB45" w14:textId="4B0011E3" w:rsidR="00932656" w:rsidRPr="00932656" w:rsidRDefault="00932656" w:rsidP="00932656">
      <w:pPr>
        <w:pStyle w:val="xmsonormal"/>
        <w:numPr>
          <w:ilvl w:val="3"/>
          <w:numId w:val="9"/>
        </w:numPr>
        <w:shd w:val="clear" w:color="auto" w:fill="FFFFFF"/>
        <w:rPr>
          <w:rFonts w:eastAsia="Times New Roman"/>
          <w:color w:val="auto"/>
        </w:rPr>
      </w:pPr>
      <w:r w:rsidRPr="00932656">
        <w:rPr>
          <w:rFonts w:eastAsia="Times New Roman"/>
          <w:color w:val="auto"/>
        </w:rPr>
        <w:t>court-appointed person who has court-imposed limitations placed on the use of the funds; and</w:t>
      </w:r>
    </w:p>
    <w:p w14:paraId="20BC87AA" w14:textId="3A34FA3A" w:rsidR="00932656" w:rsidRDefault="00932656" w:rsidP="00932656">
      <w:pPr>
        <w:pStyle w:val="xmsonormal"/>
        <w:numPr>
          <w:ilvl w:val="3"/>
          <w:numId w:val="9"/>
        </w:numPr>
        <w:shd w:val="clear" w:color="auto" w:fill="FFFFFF"/>
        <w:rPr>
          <w:rFonts w:eastAsia="Times New Roman"/>
          <w:color w:val="auto"/>
        </w:rPr>
      </w:pPr>
      <w:r w:rsidRPr="00932656">
        <w:rPr>
          <w:rFonts w:eastAsia="Times New Roman"/>
          <w:color w:val="auto"/>
        </w:rPr>
        <w:t>The trust investments do not directly involve or help any business or corporation under the control, direction, or influence of a household member.</w:t>
      </w:r>
    </w:p>
    <w:p w14:paraId="799AF478" w14:textId="347CE86C" w:rsidR="00D23285" w:rsidRDefault="00D23285" w:rsidP="00D23285">
      <w:pPr>
        <w:pStyle w:val="xmsonormal"/>
        <w:numPr>
          <w:ilvl w:val="0"/>
          <w:numId w:val="9"/>
        </w:numPr>
        <w:shd w:val="clear" w:color="auto" w:fill="FFFFFF"/>
        <w:rPr>
          <w:rFonts w:eastAsia="Times New Roman"/>
          <w:color w:val="auto"/>
        </w:rPr>
      </w:pPr>
      <w:r>
        <w:rPr>
          <w:rFonts w:eastAsia="Times New Roman"/>
          <w:color w:val="auto"/>
        </w:rPr>
        <w:lastRenderedPageBreak/>
        <w:t xml:space="preserve">For </w:t>
      </w:r>
      <w:r>
        <w:rPr>
          <w:rFonts w:eastAsia="Times New Roman"/>
          <w:b/>
          <w:bCs/>
          <w:color w:val="auto"/>
        </w:rPr>
        <w:t>Texas Works Medicaid and CHIP</w:t>
      </w:r>
      <w:r>
        <w:rPr>
          <w:rFonts w:eastAsia="Times New Roman"/>
          <w:color w:val="auto"/>
        </w:rPr>
        <w:t>:</w:t>
      </w:r>
    </w:p>
    <w:p w14:paraId="59BE297A" w14:textId="6918EF41" w:rsidR="00B918A0" w:rsidRPr="003D1C4F" w:rsidRDefault="00B918A0" w:rsidP="003D1C4F">
      <w:pPr>
        <w:numPr>
          <w:ilvl w:val="1"/>
          <w:numId w:val="9"/>
        </w:numPr>
        <w:rPr>
          <w:rFonts w:eastAsia="Times New Roman"/>
          <w:sz w:val="24"/>
          <w:szCs w:val="24"/>
        </w:rPr>
      </w:pPr>
      <w:r w:rsidRPr="009B0990">
        <w:rPr>
          <w:rFonts w:eastAsia="Times New Roman"/>
          <w:sz w:val="24"/>
          <w:szCs w:val="24"/>
        </w:rPr>
        <w:t>Income paid directly to the trust beneficiary</w:t>
      </w:r>
      <w:r w:rsidR="003D1C4F">
        <w:rPr>
          <w:rFonts w:eastAsia="Times New Roman"/>
          <w:sz w:val="24"/>
          <w:szCs w:val="24"/>
        </w:rPr>
        <w:t xml:space="preserve"> from the trust</w:t>
      </w:r>
      <w:r w:rsidRPr="009B0990">
        <w:rPr>
          <w:rFonts w:eastAsia="Times New Roman"/>
          <w:sz w:val="24"/>
          <w:szCs w:val="24"/>
        </w:rPr>
        <w:t xml:space="preserve"> is considered unearned income in the month of receipt.</w:t>
      </w:r>
    </w:p>
    <w:p w14:paraId="48A1A318" w14:textId="7DA7080F" w:rsidR="00D23285" w:rsidRPr="00932656" w:rsidRDefault="00D23285" w:rsidP="00D23285">
      <w:pPr>
        <w:pStyle w:val="xmsonormal"/>
        <w:numPr>
          <w:ilvl w:val="1"/>
          <w:numId w:val="9"/>
        </w:numPr>
        <w:shd w:val="clear" w:color="auto" w:fill="FFFFFF"/>
        <w:rPr>
          <w:rFonts w:eastAsia="Times New Roman"/>
          <w:color w:val="auto"/>
        </w:rPr>
      </w:pPr>
      <w:r w:rsidRPr="00932656">
        <w:rPr>
          <w:rFonts w:eastAsia="Times New Roman"/>
          <w:color w:val="auto"/>
        </w:rPr>
        <w:t>Trust funds are exempt as a resourc</w:t>
      </w:r>
      <w:r w:rsidR="003D1C4F">
        <w:rPr>
          <w:rFonts w:eastAsia="Times New Roman"/>
          <w:color w:val="auto"/>
        </w:rPr>
        <w:t>e</w:t>
      </w:r>
      <w:r w:rsidR="00370238">
        <w:rPr>
          <w:rFonts w:eastAsia="Times New Roman"/>
          <w:color w:val="auto"/>
        </w:rPr>
        <w:t xml:space="preserve">. </w:t>
      </w:r>
    </w:p>
    <w:p w14:paraId="1D7055DE" w14:textId="77777777" w:rsidR="00D23285" w:rsidRDefault="00D23285" w:rsidP="00D23285">
      <w:pPr>
        <w:pStyle w:val="xmsonormal"/>
        <w:shd w:val="clear" w:color="auto" w:fill="FFFFFF"/>
        <w:ind w:left="2880"/>
        <w:rPr>
          <w:rFonts w:eastAsia="Times New Roman"/>
          <w:color w:val="auto"/>
        </w:rPr>
      </w:pPr>
    </w:p>
    <w:p w14:paraId="48342BC9" w14:textId="450149F2" w:rsidR="00C05935" w:rsidRDefault="00C05935" w:rsidP="00C05935">
      <w:pPr>
        <w:pStyle w:val="xmsonormal"/>
        <w:numPr>
          <w:ilvl w:val="0"/>
          <w:numId w:val="9"/>
        </w:numPr>
        <w:shd w:val="clear" w:color="auto" w:fill="FFFFFF"/>
        <w:rPr>
          <w:rFonts w:eastAsia="Times New Roman"/>
          <w:color w:val="auto"/>
        </w:rPr>
      </w:pPr>
      <w:r>
        <w:rPr>
          <w:rFonts w:eastAsia="Times New Roman"/>
          <w:color w:val="auto"/>
        </w:rPr>
        <w:t xml:space="preserve">For </w:t>
      </w:r>
      <w:r>
        <w:rPr>
          <w:rFonts w:eastAsia="Times New Roman"/>
          <w:b/>
          <w:bCs/>
          <w:color w:val="auto"/>
        </w:rPr>
        <w:t>MEPD</w:t>
      </w:r>
      <w:r>
        <w:rPr>
          <w:rFonts w:eastAsia="Times New Roman"/>
          <w:color w:val="auto"/>
        </w:rPr>
        <w:t>:</w:t>
      </w:r>
    </w:p>
    <w:p w14:paraId="56884627" w14:textId="77C4A8F3" w:rsidR="004133C5" w:rsidRPr="004133C5" w:rsidRDefault="004133C5" w:rsidP="004133C5">
      <w:pPr>
        <w:pStyle w:val="xmsonormal"/>
        <w:numPr>
          <w:ilvl w:val="1"/>
          <w:numId w:val="9"/>
        </w:numPr>
        <w:shd w:val="clear" w:color="auto" w:fill="FFFFFF"/>
        <w:rPr>
          <w:rFonts w:eastAsia="Times New Roman"/>
          <w:color w:val="auto"/>
        </w:rPr>
      </w:pPr>
      <w:r w:rsidRPr="004133C5">
        <w:rPr>
          <w:rFonts w:eastAsia="Times New Roman"/>
        </w:rPr>
        <w:t xml:space="preserve">Payments from the trust to, or for the benefit of, the trust beneficiary (Medicaid recipient) are considered unearned income in the month of receipt, excluding payments: </w:t>
      </w:r>
    </w:p>
    <w:p w14:paraId="44F839A2" w14:textId="77777777" w:rsidR="004133C5" w:rsidRPr="004133C5" w:rsidRDefault="004133C5" w:rsidP="004133C5">
      <w:pPr>
        <w:numPr>
          <w:ilvl w:val="2"/>
          <w:numId w:val="9"/>
        </w:numPr>
        <w:rPr>
          <w:rFonts w:eastAsia="Times New Roman"/>
          <w:sz w:val="24"/>
          <w:szCs w:val="24"/>
        </w:rPr>
      </w:pPr>
      <w:r w:rsidRPr="004133C5">
        <w:rPr>
          <w:rFonts w:eastAsia="Times New Roman"/>
          <w:sz w:val="24"/>
          <w:szCs w:val="24"/>
        </w:rPr>
        <w:t xml:space="preserve">For medical or social services for the trust beneficiary; and </w:t>
      </w:r>
    </w:p>
    <w:p w14:paraId="01C7D22C" w14:textId="77777777" w:rsidR="004133C5" w:rsidRPr="004133C5" w:rsidRDefault="004133C5" w:rsidP="004133C5">
      <w:pPr>
        <w:numPr>
          <w:ilvl w:val="2"/>
          <w:numId w:val="9"/>
        </w:numPr>
        <w:rPr>
          <w:rFonts w:eastAsia="Times New Roman"/>
          <w:sz w:val="24"/>
          <w:szCs w:val="24"/>
        </w:rPr>
      </w:pPr>
      <w:r w:rsidRPr="004133C5">
        <w:rPr>
          <w:rFonts w:eastAsia="Times New Roman"/>
          <w:sz w:val="24"/>
          <w:szCs w:val="24"/>
        </w:rPr>
        <w:t>To an ABLE account established for the trust beneficiary.</w:t>
      </w:r>
    </w:p>
    <w:p w14:paraId="69D69F0C" w14:textId="77777777" w:rsidR="004133C5" w:rsidRPr="001834EA" w:rsidRDefault="004133C5" w:rsidP="001834EA">
      <w:pPr>
        <w:numPr>
          <w:ilvl w:val="1"/>
          <w:numId w:val="9"/>
        </w:numPr>
        <w:rPr>
          <w:rFonts w:eastAsia="Times New Roman"/>
          <w:sz w:val="24"/>
          <w:szCs w:val="24"/>
        </w:rPr>
      </w:pPr>
      <w:r w:rsidRPr="001834EA">
        <w:rPr>
          <w:rFonts w:eastAsia="Times New Roman"/>
          <w:sz w:val="24"/>
          <w:szCs w:val="24"/>
        </w:rPr>
        <w:t>The trust is not a countable resource if the beneficiary (Medicaid recipient) cannot terminate the trust or direct the use of the trust assets for his or her own support and maintenance.</w:t>
      </w:r>
    </w:p>
    <w:p w14:paraId="65F6CD70" w14:textId="77777777" w:rsidR="00C05935" w:rsidRPr="00932656" w:rsidRDefault="00C05935" w:rsidP="001834EA">
      <w:pPr>
        <w:pStyle w:val="xmsonormal"/>
        <w:shd w:val="clear" w:color="auto" w:fill="FFFFFF"/>
        <w:ind w:left="2880"/>
        <w:rPr>
          <w:rFonts w:eastAsia="Times New Roman"/>
          <w:color w:val="auto"/>
        </w:rPr>
      </w:pPr>
    </w:p>
    <w:p w14:paraId="21D6EFE3" w14:textId="57D840D4" w:rsidR="001834EA" w:rsidRDefault="001834EA" w:rsidP="001834EA">
      <w:pPr>
        <w:rPr>
          <w:b/>
          <w:bCs/>
          <w:sz w:val="24"/>
          <w:szCs w:val="24"/>
          <w:u w:val="single"/>
        </w:rPr>
      </w:pPr>
      <w:r w:rsidRPr="001834EA">
        <w:rPr>
          <w:b/>
          <w:bCs/>
          <w:sz w:val="24"/>
          <w:szCs w:val="24"/>
          <w:u w:val="single"/>
        </w:rPr>
        <w:t xml:space="preserve">Recipient is </w:t>
      </w:r>
      <w:r w:rsidR="00D659E1">
        <w:rPr>
          <w:b/>
          <w:bCs/>
          <w:sz w:val="24"/>
          <w:szCs w:val="24"/>
          <w:u w:val="single"/>
        </w:rPr>
        <w:t xml:space="preserve">the </w:t>
      </w:r>
      <w:r w:rsidRPr="001834EA">
        <w:rPr>
          <w:b/>
          <w:bCs/>
          <w:sz w:val="24"/>
          <w:szCs w:val="24"/>
          <w:u w:val="single"/>
        </w:rPr>
        <w:t xml:space="preserve">Trustee </w:t>
      </w:r>
    </w:p>
    <w:p w14:paraId="7436DE75" w14:textId="40BD251B" w:rsidR="001354A9" w:rsidRPr="001354A9" w:rsidRDefault="001354A9" w:rsidP="00D23285">
      <w:pPr>
        <w:numPr>
          <w:ilvl w:val="0"/>
          <w:numId w:val="11"/>
        </w:numPr>
        <w:rPr>
          <w:rFonts w:eastAsia="Times New Roman"/>
          <w:sz w:val="24"/>
          <w:szCs w:val="24"/>
        </w:rPr>
      </w:pPr>
      <w:r w:rsidRPr="001354A9">
        <w:rPr>
          <w:rFonts w:eastAsia="Times New Roman"/>
          <w:sz w:val="24"/>
          <w:szCs w:val="24"/>
        </w:rPr>
        <w:t xml:space="preserve">For </w:t>
      </w:r>
      <w:r w:rsidRPr="001354A9">
        <w:rPr>
          <w:rFonts w:eastAsia="Times New Roman"/>
          <w:b/>
          <w:bCs/>
          <w:sz w:val="24"/>
          <w:szCs w:val="24"/>
        </w:rPr>
        <w:t>All Programs</w:t>
      </w:r>
      <w:r w:rsidRPr="001354A9">
        <w:rPr>
          <w:rFonts w:eastAsia="Times New Roman"/>
          <w:sz w:val="24"/>
          <w:szCs w:val="24"/>
        </w:rPr>
        <w:t xml:space="preserve"> (TANF/SNAP/</w:t>
      </w:r>
      <w:r w:rsidR="00F71A4D">
        <w:rPr>
          <w:rFonts w:eastAsia="Times New Roman"/>
          <w:sz w:val="24"/>
          <w:szCs w:val="24"/>
        </w:rPr>
        <w:t xml:space="preserve">all </w:t>
      </w:r>
      <w:r w:rsidRPr="001354A9">
        <w:rPr>
          <w:rFonts w:eastAsia="Times New Roman"/>
          <w:sz w:val="24"/>
          <w:szCs w:val="24"/>
        </w:rPr>
        <w:t xml:space="preserve">Medicaid/CHIP): </w:t>
      </w:r>
    </w:p>
    <w:p w14:paraId="5F07C105" w14:textId="4E462644" w:rsidR="00D23285" w:rsidRPr="00D23285" w:rsidRDefault="00D23285" w:rsidP="001354A9">
      <w:pPr>
        <w:numPr>
          <w:ilvl w:val="1"/>
          <w:numId w:val="11"/>
        </w:numPr>
        <w:rPr>
          <w:rFonts w:eastAsia="Times New Roman"/>
          <w:sz w:val="24"/>
          <w:szCs w:val="24"/>
        </w:rPr>
      </w:pPr>
      <w:r w:rsidRPr="00D23285">
        <w:rPr>
          <w:rFonts w:eastAsia="Times New Roman"/>
          <w:sz w:val="24"/>
          <w:szCs w:val="24"/>
        </w:rPr>
        <w:t xml:space="preserve">The trustee is responsible for managing the assets in a trust and must follow the rules of the trust relating to how the money can be used. </w:t>
      </w:r>
    </w:p>
    <w:p w14:paraId="4784CA5D" w14:textId="77777777" w:rsidR="00D23285" w:rsidRPr="00D23285" w:rsidRDefault="00D23285" w:rsidP="001354A9">
      <w:pPr>
        <w:numPr>
          <w:ilvl w:val="1"/>
          <w:numId w:val="11"/>
        </w:numPr>
        <w:rPr>
          <w:rFonts w:eastAsia="Times New Roman"/>
          <w:sz w:val="24"/>
          <w:szCs w:val="24"/>
        </w:rPr>
      </w:pPr>
      <w:r w:rsidRPr="00D23285">
        <w:rPr>
          <w:rFonts w:eastAsia="Times New Roman"/>
          <w:sz w:val="24"/>
          <w:szCs w:val="24"/>
        </w:rPr>
        <w:t xml:space="preserve">Generally, a trust is not considered as income or a resource for the trustee. </w:t>
      </w:r>
    </w:p>
    <w:p w14:paraId="4C541AB1" w14:textId="670BBAD9" w:rsidR="00D23285" w:rsidRPr="00D23285" w:rsidRDefault="00D23285" w:rsidP="001354A9">
      <w:pPr>
        <w:numPr>
          <w:ilvl w:val="1"/>
          <w:numId w:val="11"/>
        </w:numPr>
        <w:rPr>
          <w:rFonts w:eastAsia="Times New Roman"/>
          <w:sz w:val="24"/>
          <w:szCs w:val="24"/>
        </w:rPr>
      </w:pPr>
      <w:r w:rsidRPr="00D23285">
        <w:rPr>
          <w:rFonts w:eastAsia="Times New Roman"/>
          <w:sz w:val="24"/>
          <w:szCs w:val="24"/>
        </w:rPr>
        <w:t>However, if the trustee can use the trust for their own benefit, all income and resources are considered available</w:t>
      </w:r>
      <w:r w:rsidR="001354A9">
        <w:rPr>
          <w:rFonts w:eastAsia="Times New Roman"/>
          <w:sz w:val="24"/>
          <w:szCs w:val="24"/>
        </w:rPr>
        <w:t xml:space="preserve"> and are countable when determining eligibility</w:t>
      </w:r>
      <w:r w:rsidRPr="00D23285">
        <w:rPr>
          <w:rFonts w:eastAsia="Times New Roman"/>
          <w:sz w:val="24"/>
          <w:szCs w:val="24"/>
        </w:rPr>
        <w:t>.</w:t>
      </w:r>
    </w:p>
    <w:p w14:paraId="438FADFA" w14:textId="7FEABCCA" w:rsidR="00B24224" w:rsidRPr="00B24224" w:rsidRDefault="00B24224" w:rsidP="00B24224">
      <w:pPr>
        <w:pStyle w:val="Heading3"/>
        <w:contextualSpacing/>
        <w:rPr>
          <w:rFonts w:asciiTheme="minorHAnsi" w:eastAsiaTheme="minorHAnsi" w:hAnsiTheme="minorHAnsi" w:cstheme="minorBidi"/>
          <w:bCs/>
          <w:color w:val="auto"/>
          <w:sz w:val="24"/>
          <w:u w:val="single"/>
        </w:rPr>
      </w:pPr>
      <w:r w:rsidRPr="00B24224">
        <w:rPr>
          <w:rFonts w:asciiTheme="minorHAnsi" w:eastAsiaTheme="minorHAnsi" w:hAnsiTheme="minorHAnsi" w:cstheme="minorBidi"/>
          <w:bCs/>
          <w:color w:val="auto"/>
          <w:sz w:val="24"/>
          <w:u w:val="single"/>
        </w:rPr>
        <w:t>Special Needs Trusts</w:t>
      </w:r>
      <w:r w:rsidR="00431713">
        <w:rPr>
          <w:rFonts w:asciiTheme="minorHAnsi" w:eastAsiaTheme="minorHAnsi" w:hAnsiTheme="minorHAnsi" w:cstheme="minorBidi"/>
          <w:bCs/>
          <w:color w:val="auto"/>
          <w:sz w:val="24"/>
          <w:u w:val="single"/>
        </w:rPr>
        <w:t>(SNT)</w:t>
      </w:r>
    </w:p>
    <w:p w14:paraId="0EB6D411" w14:textId="77777777" w:rsidR="000F3723" w:rsidRDefault="000F3723" w:rsidP="00261E59">
      <w:pPr>
        <w:pStyle w:val="BodyText"/>
        <w:spacing w:before="0" w:after="0" w:line="240" w:lineRule="auto"/>
        <w:rPr>
          <w:rFonts w:eastAsia="Times New Roman"/>
          <w:sz w:val="24"/>
          <w:szCs w:val="24"/>
        </w:rPr>
      </w:pPr>
      <w:r w:rsidRPr="000F3723">
        <w:rPr>
          <w:rFonts w:eastAsia="Times New Roman"/>
          <w:sz w:val="24"/>
          <w:szCs w:val="24"/>
        </w:rPr>
        <w:t xml:space="preserve">A special needs trust is a revocable or irrevocable trust established with the assets (income or resources) of a person under age 65 who </w:t>
      </w:r>
      <w:r w:rsidRPr="00FA4AF1">
        <w:rPr>
          <w:rFonts w:eastAsia="Times New Roman"/>
          <w:sz w:val="24"/>
          <w:szCs w:val="24"/>
        </w:rPr>
        <w:t>has a determination of disability a</w:t>
      </w:r>
      <w:r w:rsidRPr="000F3723">
        <w:rPr>
          <w:rFonts w:eastAsia="Times New Roman"/>
          <w:sz w:val="24"/>
          <w:szCs w:val="24"/>
        </w:rPr>
        <w:t xml:space="preserve">s defined by the Social Security Administration (SSA). </w:t>
      </w:r>
    </w:p>
    <w:p w14:paraId="2C74090F" w14:textId="77777777" w:rsidR="000D1794" w:rsidRDefault="000F3723" w:rsidP="000D1794">
      <w:pPr>
        <w:pStyle w:val="BodyText"/>
        <w:numPr>
          <w:ilvl w:val="0"/>
          <w:numId w:val="11"/>
        </w:numPr>
        <w:spacing w:before="0" w:after="0" w:line="240" w:lineRule="auto"/>
        <w:rPr>
          <w:rFonts w:eastAsia="Times New Roman"/>
          <w:sz w:val="24"/>
          <w:szCs w:val="24"/>
        </w:rPr>
      </w:pPr>
      <w:r w:rsidRPr="000F3723">
        <w:rPr>
          <w:rFonts w:eastAsia="Times New Roman"/>
          <w:sz w:val="24"/>
          <w:szCs w:val="24"/>
        </w:rPr>
        <w:t xml:space="preserve">The trust must be established for the person’s benefit by a parent, grandparent, legal guardian, a court or the person. </w:t>
      </w:r>
    </w:p>
    <w:p w14:paraId="49A4C603" w14:textId="4BF6F9C8" w:rsidR="000F3723" w:rsidRDefault="000F3723" w:rsidP="000D1794">
      <w:pPr>
        <w:pStyle w:val="BodyText"/>
        <w:numPr>
          <w:ilvl w:val="0"/>
          <w:numId w:val="11"/>
        </w:numPr>
        <w:spacing w:before="0" w:after="0" w:line="240" w:lineRule="auto"/>
        <w:rPr>
          <w:rFonts w:eastAsia="Times New Roman"/>
          <w:sz w:val="24"/>
          <w:szCs w:val="24"/>
        </w:rPr>
      </w:pPr>
      <w:r w:rsidRPr="000F3723">
        <w:rPr>
          <w:rFonts w:eastAsia="Times New Roman"/>
          <w:sz w:val="24"/>
          <w:szCs w:val="24"/>
        </w:rPr>
        <w:t>To maintain eligibility for Medicaid, the beneficiary cannot have control over the assets in the Special Needs Trust and cannot manage the assets, have the right to demand distributions of income or property from the trust, name the Trustee or change the terms of the Special Needs Trust.</w:t>
      </w:r>
    </w:p>
    <w:p w14:paraId="57654597" w14:textId="77777777" w:rsidR="004E656A" w:rsidRDefault="004E656A" w:rsidP="004E656A">
      <w:pPr>
        <w:pStyle w:val="xmsonormal"/>
        <w:numPr>
          <w:ilvl w:val="0"/>
          <w:numId w:val="11"/>
        </w:numPr>
        <w:shd w:val="clear" w:color="auto" w:fill="FFFFFF"/>
        <w:rPr>
          <w:rFonts w:eastAsia="Times New Roman"/>
          <w:color w:val="auto"/>
        </w:rPr>
      </w:pPr>
      <w:r>
        <w:rPr>
          <w:rFonts w:eastAsia="Times New Roman"/>
          <w:color w:val="auto"/>
        </w:rPr>
        <w:t xml:space="preserve">For </w:t>
      </w:r>
      <w:r>
        <w:rPr>
          <w:rFonts w:eastAsia="Times New Roman"/>
          <w:b/>
          <w:bCs/>
          <w:color w:val="auto"/>
        </w:rPr>
        <w:t>All Programs</w:t>
      </w:r>
      <w:r>
        <w:rPr>
          <w:rFonts w:eastAsia="Times New Roman"/>
          <w:color w:val="auto"/>
        </w:rPr>
        <w:t xml:space="preserve"> (TANF/SNAP/all Medicaid/CHIP):</w:t>
      </w:r>
    </w:p>
    <w:p w14:paraId="6F4ACBBE" w14:textId="77777777" w:rsidR="004E656A" w:rsidRPr="00261E59" w:rsidRDefault="004E656A" w:rsidP="004E656A">
      <w:pPr>
        <w:pStyle w:val="xmsonormal"/>
        <w:numPr>
          <w:ilvl w:val="1"/>
          <w:numId w:val="11"/>
        </w:numPr>
        <w:shd w:val="clear" w:color="auto" w:fill="FFFFFF"/>
        <w:rPr>
          <w:rFonts w:eastAsia="Times New Roman"/>
        </w:rPr>
      </w:pPr>
      <w:r>
        <w:rPr>
          <w:shd w:val="clear" w:color="auto" w:fill="FFFFFF"/>
        </w:rPr>
        <w:t>A SNT</w:t>
      </w:r>
      <w:r w:rsidRPr="004E656A">
        <w:rPr>
          <w:shd w:val="clear" w:color="auto" w:fill="FFFFFF"/>
        </w:rPr>
        <w:t xml:space="preserve"> </w:t>
      </w:r>
      <w:r>
        <w:rPr>
          <w:shd w:val="clear" w:color="auto" w:fill="FFFFFF"/>
        </w:rPr>
        <w:t xml:space="preserve">is not </w:t>
      </w:r>
      <w:r w:rsidRPr="004E656A">
        <w:rPr>
          <w:shd w:val="clear" w:color="auto" w:fill="FFFFFF"/>
        </w:rPr>
        <w:t xml:space="preserve">considered </w:t>
      </w:r>
      <w:r>
        <w:rPr>
          <w:shd w:val="clear" w:color="auto" w:fill="FFFFFF"/>
        </w:rPr>
        <w:t>a</w:t>
      </w:r>
      <w:r w:rsidRPr="004E656A">
        <w:rPr>
          <w:shd w:val="clear" w:color="auto" w:fill="FFFFFF"/>
        </w:rPr>
        <w:t xml:space="preserve"> resource. </w:t>
      </w:r>
    </w:p>
    <w:p w14:paraId="4EE950B6" w14:textId="77777777" w:rsidR="004E656A" w:rsidRPr="004E656A" w:rsidRDefault="004E656A" w:rsidP="004E656A">
      <w:pPr>
        <w:pStyle w:val="xmsonormal"/>
        <w:numPr>
          <w:ilvl w:val="1"/>
          <w:numId w:val="11"/>
        </w:numPr>
        <w:shd w:val="clear" w:color="auto" w:fill="FFFFFF"/>
        <w:rPr>
          <w:shd w:val="clear" w:color="auto" w:fill="FFFFFF"/>
        </w:rPr>
      </w:pPr>
      <w:r w:rsidRPr="004E656A">
        <w:rPr>
          <w:shd w:val="clear" w:color="auto" w:fill="FFFFFF"/>
        </w:rPr>
        <w:lastRenderedPageBreak/>
        <w:t xml:space="preserve">Payments from the trust to, or for the benefit of, the trust beneficiary (Medicaid recipient) are considered unearned income in the month of receipt, excluding payments: </w:t>
      </w:r>
    </w:p>
    <w:p w14:paraId="62DC96D3" w14:textId="77777777" w:rsidR="004E656A" w:rsidRPr="004E656A" w:rsidRDefault="004E656A" w:rsidP="00261E59">
      <w:pPr>
        <w:pStyle w:val="xmsonormal"/>
        <w:numPr>
          <w:ilvl w:val="2"/>
          <w:numId w:val="11"/>
        </w:numPr>
        <w:shd w:val="clear" w:color="auto" w:fill="FFFFFF"/>
        <w:rPr>
          <w:shd w:val="clear" w:color="auto" w:fill="FFFFFF"/>
        </w:rPr>
      </w:pPr>
      <w:r w:rsidRPr="004E656A">
        <w:rPr>
          <w:shd w:val="clear" w:color="auto" w:fill="FFFFFF"/>
        </w:rPr>
        <w:t xml:space="preserve">For medical or social services for the trust beneficiary; and </w:t>
      </w:r>
    </w:p>
    <w:p w14:paraId="5CD9392F" w14:textId="587CC3D8" w:rsidR="004E656A" w:rsidRPr="00261E59" w:rsidRDefault="004E656A" w:rsidP="00261E59">
      <w:pPr>
        <w:pStyle w:val="xmsonormal"/>
        <w:numPr>
          <w:ilvl w:val="2"/>
          <w:numId w:val="11"/>
        </w:numPr>
        <w:shd w:val="clear" w:color="auto" w:fill="FFFFFF"/>
        <w:rPr>
          <w:rFonts w:eastAsia="Times New Roman"/>
        </w:rPr>
      </w:pPr>
      <w:r w:rsidRPr="00261E59">
        <w:rPr>
          <w:shd w:val="clear" w:color="auto" w:fill="FFFFFF"/>
        </w:rPr>
        <w:t>To an ABLE account established for the trust beneficiary.</w:t>
      </w:r>
    </w:p>
    <w:p w14:paraId="731D2815" w14:textId="77777777" w:rsidR="00E362FA" w:rsidRPr="00E362FA" w:rsidRDefault="00E362FA" w:rsidP="00E362FA">
      <w:pPr>
        <w:pStyle w:val="Heading2"/>
        <w:rPr>
          <w:rFonts w:asciiTheme="minorHAnsi" w:eastAsiaTheme="minorHAnsi" w:hAnsiTheme="minorHAnsi" w:cstheme="minorBidi"/>
          <w:bCs/>
          <w:color w:val="auto"/>
          <w:sz w:val="24"/>
          <w:szCs w:val="24"/>
          <w:u w:val="single"/>
        </w:rPr>
      </w:pPr>
      <w:r w:rsidRPr="00E362FA">
        <w:rPr>
          <w:rFonts w:asciiTheme="minorHAnsi" w:eastAsiaTheme="minorHAnsi" w:hAnsiTheme="minorHAnsi" w:cstheme="minorBidi"/>
          <w:bCs/>
          <w:color w:val="auto"/>
          <w:sz w:val="24"/>
          <w:szCs w:val="24"/>
          <w:u w:val="single"/>
        </w:rPr>
        <w:t>Uniform Transfers to Minors Act (UTMA) Custodial Accounts</w:t>
      </w:r>
    </w:p>
    <w:p w14:paraId="26B3C6ED" w14:textId="24B3004E" w:rsidR="00D63A96" w:rsidRPr="00D63A96" w:rsidRDefault="00E362FA" w:rsidP="00261E59">
      <w:pPr>
        <w:pStyle w:val="BodyText"/>
        <w:spacing w:before="0" w:after="0" w:line="240" w:lineRule="auto"/>
        <w:rPr>
          <w:rFonts w:eastAsia="Times New Roman" w:cs="Times New Roman"/>
          <w:sz w:val="24"/>
          <w:szCs w:val="24"/>
        </w:rPr>
      </w:pPr>
      <w:r w:rsidRPr="00D63A96">
        <w:rPr>
          <w:sz w:val="24"/>
          <w:szCs w:val="24"/>
        </w:rPr>
        <w:t xml:space="preserve">Custodial accounts </w:t>
      </w:r>
      <w:r w:rsidR="004E656A">
        <w:rPr>
          <w:sz w:val="24"/>
          <w:szCs w:val="24"/>
        </w:rPr>
        <w:t xml:space="preserve">that </w:t>
      </w:r>
      <w:r w:rsidRPr="00D63A96">
        <w:rPr>
          <w:sz w:val="24"/>
          <w:szCs w:val="24"/>
        </w:rPr>
        <w:t xml:space="preserve">help adults save and invest money on behalf of a child until the child reaches a certain age when the account must be transferred to them. </w:t>
      </w:r>
    </w:p>
    <w:p w14:paraId="7F2A3043" w14:textId="77777777" w:rsidR="00D63A96" w:rsidRPr="00D63A96" w:rsidRDefault="00E362FA" w:rsidP="00261E59">
      <w:pPr>
        <w:pStyle w:val="BodyText"/>
        <w:numPr>
          <w:ilvl w:val="0"/>
          <w:numId w:val="14"/>
        </w:numPr>
        <w:spacing w:before="0" w:after="0" w:line="240" w:lineRule="auto"/>
        <w:rPr>
          <w:rFonts w:eastAsia="Times New Roman" w:cs="Times New Roman"/>
          <w:sz w:val="24"/>
          <w:szCs w:val="24"/>
        </w:rPr>
      </w:pPr>
      <w:r w:rsidRPr="00D63A96">
        <w:rPr>
          <w:sz w:val="24"/>
          <w:szCs w:val="24"/>
        </w:rPr>
        <w:t xml:space="preserve">Money put into a custodial account is considered an irrevocable gift to the child. </w:t>
      </w:r>
    </w:p>
    <w:p w14:paraId="4097A524" w14:textId="43383FC8" w:rsidR="00E362FA" w:rsidRPr="00DA5426" w:rsidRDefault="00E362FA" w:rsidP="00D63A96">
      <w:pPr>
        <w:pStyle w:val="BodyText"/>
        <w:numPr>
          <w:ilvl w:val="0"/>
          <w:numId w:val="14"/>
        </w:numPr>
        <w:spacing w:before="0" w:after="0" w:line="240" w:lineRule="auto"/>
        <w:rPr>
          <w:rFonts w:eastAsia="Times New Roman" w:cs="Times New Roman"/>
          <w:sz w:val="24"/>
          <w:szCs w:val="24"/>
        </w:rPr>
      </w:pPr>
      <w:r w:rsidRPr="00D63A96">
        <w:rPr>
          <w:sz w:val="24"/>
          <w:szCs w:val="24"/>
        </w:rPr>
        <w:t>The custodian of the account must ensure the funds are invested and used for the child's benefit. Between the ages of 18 and 25, legal control of the account must be turned over to the child, who can then use the money for any purpose they choose.</w:t>
      </w:r>
    </w:p>
    <w:p w14:paraId="0327AF32" w14:textId="3448C8E4" w:rsidR="00A03D0F" w:rsidRDefault="00DA5426" w:rsidP="00A03D0F">
      <w:pPr>
        <w:pStyle w:val="xmsonormal"/>
        <w:numPr>
          <w:ilvl w:val="0"/>
          <w:numId w:val="14"/>
        </w:numPr>
        <w:shd w:val="clear" w:color="auto" w:fill="FFFFFF"/>
        <w:rPr>
          <w:rFonts w:eastAsia="Times New Roman"/>
          <w:color w:val="auto"/>
        </w:rPr>
      </w:pPr>
      <w:bookmarkStart w:id="5" w:name="_Hlk115262215"/>
      <w:r>
        <w:rPr>
          <w:rFonts w:eastAsia="Times New Roman"/>
          <w:color w:val="auto"/>
        </w:rPr>
        <w:t xml:space="preserve">For </w:t>
      </w:r>
      <w:r>
        <w:rPr>
          <w:rFonts w:eastAsia="Times New Roman"/>
          <w:b/>
          <w:bCs/>
          <w:color w:val="auto"/>
        </w:rPr>
        <w:t>All Programs</w:t>
      </w:r>
      <w:r>
        <w:rPr>
          <w:rFonts w:eastAsia="Times New Roman"/>
          <w:color w:val="auto"/>
        </w:rPr>
        <w:t xml:space="preserve"> (TANF/SNAP/</w:t>
      </w:r>
      <w:r w:rsidR="004E656A">
        <w:rPr>
          <w:rFonts w:eastAsia="Times New Roman"/>
          <w:color w:val="auto"/>
        </w:rPr>
        <w:t xml:space="preserve">all </w:t>
      </w:r>
      <w:r>
        <w:rPr>
          <w:rFonts w:eastAsia="Times New Roman"/>
          <w:color w:val="auto"/>
        </w:rPr>
        <w:t>Medicaid/CHIP):</w:t>
      </w:r>
    </w:p>
    <w:p w14:paraId="730AEB8D" w14:textId="585D1F9C" w:rsidR="00494A90" w:rsidRPr="00494A90" w:rsidRDefault="00E362FA" w:rsidP="00494A90">
      <w:pPr>
        <w:pStyle w:val="xmsonormal"/>
        <w:numPr>
          <w:ilvl w:val="1"/>
          <w:numId w:val="14"/>
        </w:numPr>
        <w:shd w:val="clear" w:color="auto" w:fill="FFFFFF"/>
        <w:rPr>
          <w:rFonts w:eastAsia="Times New Roman"/>
          <w:color w:val="auto"/>
        </w:rPr>
      </w:pPr>
      <w:r w:rsidRPr="00A03D0F">
        <w:rPr>
          <w:shd w:val="clear" w:color="auto" w:fill="FFFFFF"/>
        </w:rPr>
        <w:t>If the UTMA was established with funds that did not belong to the minor, it is not considered income</w:t>
      </w:r>
      <w:r w:rsidR="00494A90">
        <w:rPr>
          <w:shd w:val="clear" w:color="auto" w:fill="FFFFFF"/>
        </w:rPr>
        <w:t xml:space="preserve"> or re</w:t>
      </w:r>
      <w:r w:rsidR="00C526E4">
        <w:rPr>
          <w:shd w:val="clear" w:color="auto" w:fill="FFFFFF"/>
        </w:rPr>
        <w:t>sources</w:t>
      </w:r>
      <w:r w:rsidRPr="00A03D0F">
        <w:rPr>
          <w:shd w:val="clear" w:color="auto" w:fill="FFFFFF"/>
        </w:rPr>
        <w:t xml:space="preserve">. In the month the minor attains the age of majority under applicable State law, all UTMA property becomes available to the beneficiary and is subject to income </w:t>
      </w:r>
      <w:r w:rsidR="0036538B">
        <w:rPr>
          <w:shd w:val="clear" w:color="auto" w:fill="FFFFFF"/>
        </w:rPr>
        <w:t xml:space="preserve">and resource </w:t>
      </w:r>
      <w:r w:rsidRPr="00A03D0F">
        <w:rPr>
          <w:shd w:val="clear" w:color="auto" w:fill="FFFFFF"/>
        </w:rPr>
        <w:t>counting.</w:t>
      </w:r>
    </w:p>
    <w:bookmarkEnd w:id="5"/>
    <w:p w14:paraId="12F8A1B1" w14:textId="77777777" w:rsidR="00FC4CA5" w:rsidRPr="00CE6D7A" w:rsidRDefault="00FC4CA5" w:rsidP="001354A9">
      <w:pPr>
        <w:pStyle w:val="xmsonormal"/>
        <w:shd w:val="clear" w:color="auto" w:fill="FFFFFF"/>
        <w:rPr>
          <w:rFonts w:eastAsia="Times New Roman"/>
          <w:color w:val="auto"/>
        </w:rPr>
      </w:pPr>
    </w:p>
    <w:p w14:paraId="101F99F9" w14:textId="0E249142" w:rsidR="00745332" w:rsidRDefault="00F5458B" w:rsidP="00745332">
      <w:pPr>
        <w:pStyle w:val="Heading2"/>
      </w:pPr>
      <w:r>
        <w:t>Achieving a Better Life Experience (A</w:t>
      </w:r>
      <w:r w:rsidR="00745332">
        <w:t>BLE</w:t>
      </w:r>
      <w:r>
        <w:t>)</w:t>
      </w:r>
      <w:r w:rsidR="00745332">
        <w:t xml:space="preserve"> Accounts</w:t>
      </w:r>
    </w:p>
    <w:p w14:paraId="0E05F2F9" w14:textId="72DB04EF" w:rsidR="00316A99" w:rsidRDefault="007E22F6" w:rsidP="00261E59">
      <w:pPr>
        <w:pStyle w:val="xmsonormal"/>
        <w:shd w:val="clear" w:color="auto" w:fill="FFFFFF"/>
        <w:rPr>
          <w:rFonts w:eastAsia="Times New Roman"/>
          <w:color w:val="auto"/>
        </w:rPr>
      </w:pPr>
      <w:r>
        <w:rPr>
          <w:rFonts w:eastAsia="Times New Roman"/>
          <w:color w:val="auto"/>
          <w:lang w:val="en"/>
        </w:rPr>
        <w:t>T</w:t>
      </w:r>
      <w:r w:rsidR="00316A99">
        <w:rPr>
          <w:rFonts w:eastAsia="Times New Roman"/>
          <w:color w:val="auto"/>
          <w:lang w:val="en"/>
        </w:rPr>
        <w:t xml:space="preserve">ax-free </w:t>
      </w:r>
      <w:r w:rsidR="00316A99" w:rsidRPr="00316A99">
        <w:rPr>
          <w:rFonts w:eastAsia="Times New Roman"/>
          <w:color w:val="auto"/>
          <w:lang w:val="en"/>
        </w:rPr>
        <w:t xml:space="preserve">savings accounts </w:t>
      </w:r>
      <w:r w:rsidR="003869E5">
        <w:rPr>
          <w:rFonts w:eastAsia="Times New Roman"/>
          <w:color w:val="auto"/>
          <w:lang w:val="en"/>
        </w:rPr>
        <w:t xml:space="preserve">for a person with a disability that occurred before </w:t>
      </w:r>
      <w:r w:rsidR="00316A99" w:rsidRPr="00316A99">
        <w:rPr>
          <w:rFonts w:eastAsia="Times New Roman"/>
          <w:color w:val="auto"/>
        </w:rPr>
        <w:t>age 26</w:t>
      </w:r>
      <w:r>
        <w:rPr>
          <w:rFonts w:eastAsia="Times New Roman"/>
          <w:color w:val="auto"/>
        </w:rPr>
        <w:t xml:space="preserve">, </w:t>
      </w:r>
      <w:r w:rsidR="003869E5">
        <w:rPr>
          <w:rFonts w:eastAsia="Times New Roman"/>
          <w:color w:val="auto"/>
        </w:rPr>
        <w:t>for</w:t>
      </w:r>
      <w:r>
        <w:rPr>
          <w:rFonts w:eastAsia="Times New Roman"/>
          <w:color w:val="auto"/>
        </w:rPr>
        <w:t xml:space="preserve"> the beneficiary’s </w:t>
      </w:r>
      <w:r w:rsidR="00316A99" w:rsidRPr="00316A99">
        <w:rPr>
          <w:rFonts w:eastAsia="Times New Roman"/>
          <w:color w:val="auto"/>
          <w:lang w:val="en"/>
        </w:rPr>
        <w:t>disability-related expenses</w:t>
      </w:r>
      <w:r>
        <w:rPr>
          <w:rFonts w:eastAsia="Times New Roman"/>
          <w:color w:val="auto"/>
          <w:lang w:val="en"/>
        </w:rPr>
        <w:t>.</w:t>
      </w:r>
    </w:p>
    <w:p w14:paraId="36D3F2B4" w14:textId="06087890" w:rsidR="007B023E" w:rsidRDefault="007B023E" w:rsidP="007B023E">
      <w:pPr>
        <w:pStyle w:val="xmsonormal"/>
        <w:numPr>
          <w:ilvl w:val="0"/>
          <w:numId w:val="9"/>
        </w:numPr>
        <w:shd w:val="clear" w:color="auto" w:fill="FFFFFF"/>
        <w:rPr>
          <w:rFonts w:eastAsia="Times New Roman"/>
          <w:color w:val="auto"/>
        </w:rPr>
      </w:pPr>
      <w:r>
        <w:rPr>
          <w:rFonts w:eastAsia="Times New Roman"/>
          <w:color w:val="auto"/>
        </w:rPr>
        <w:t xml:space="preserve">For </w:t>
      </w:r>
      <w:r>
        <w:rPr>
          <w:rFonts w:eastAsia="Times New Roman"/>
          <w:b/>
          <w:bCs/>
          <w:color w:val="auto"/>
        </w:rPr>
        <w:t>All Programs</w:t>
      </w:r>
      <w:r>
        <w:rPr>
          <w:rFonts w:eastAsia="Times New Roman"/>
          <w:color w:val="auto"/>
        </w:rPr>
        <w:t xml:space="preserve"> (TANF/SNAP/</w:t>
      </w:r>
      <w:r w:rsidR="004E656A">
        <w:rPr>
          <w:rFonts w:eastAsia="Times New Roman"/>
          <w:color w:val="auto"/>
        </w:rPr>
        <w:t xml:space="preserve">all </w:t>
      </w:r>
      <w:r>
        <w:rPr>
          <w:rFonts w:eastAsia="Times New Roman"/>
          <w:color w:val="auto"/>
        </w:rPr>
        <w:t>Medicaid/CHIP):</w:t>
      </w:r>
    </w:p>
    <w:p w14:paraId="407F2824" w14:textId="56720208" w:rsidR="004F2521" w:rsidRDefault="007E22F6" w:rsidP="004F2521">
      <w:pPr>
        <w:pStyle w:val="xmsonormal"/>
        <w:numPr>
          <w:ilvl w:val="1"/>
          <w:numId w:val="9"/>
        </w:numPr>
        <w:shd w:val="clear" w:color="auto" w:fill="FFFFFF"/>
        <w:rPr>
          <w:rFonts w:eastAsia="Times New Roman"/>
          <w:color w:val="auto"/>
        </w:rPr>
      </w:pPr>
      <w:r>
        <w:rPr>
          <w:rFonts w:eastAsia="Times New Roman"/>
          <w:color w:val="auto"/>
        </w:rPr>
        <w:t>Funds</w:t>
      </w:r>
      <w:r w:rsidR="00B26514">
        <w:rPr>
          <w:rFonts w:eastAsia="Times New Roman"/>
          <w:color w:val="auto"/>
        </w:rPr>
        <w:t xml:space="preserve"> distributed from </w:t>
      </w:r>
      <w:r w:rsidR="004F2521">
        <w:rPr>
          <w:rFonts w:eastAsia="Times New Roman"/>
          <w:color w:val="auto"/>
        </w:rPr>
        <w:t>an ABLE acc</w:t>
      </w:r>
      <w:r w:rsidR="004F2521" w:rsidRPr="00FA4AF1">
        <w:rPr>
          <w:rFonts w:eastAsia="Times New Roman"/>
          <w:color w:val="auto"/>
        </w:rPr>
        <w:t>ount</w:t>
      </w:r>
      <w:r>
        <w:rPr>
          <w:rFonts w:eastAsia="Times New Roman"/>
          <w:color w:val="auto"/>
        </w:rPr>
        <w:t xml:space="preserve"> are</w:t>
      </w:r>
      <w:r w:rsidR="005532BD" w:rsidRPr="00FA4AF1">
        <w:rPr>
          <w:rFonts w:eastAsia="Times New Roman"/>
          <w:color w:val="auto"/>
        </w:rPr>
        <w:t xml:space="preserve"> </w:t>
      </w:r>
      <w:r w:rsidR="004F2521" w:rsidRPr="00FA4AF1">
        <w:rPr>
          <w:rFonts w:eastAsia="Times New Roman"/>
          <w:color w:val="auto"/>
        </w:rPr>
        <w:t xml:space="preserve">exempt from </w:t>
      </w:r>
      <w:r w:rsidR="005532BD" w:rsidRPr="00FA4AF1">
        <w:rPr>
          <w:rFonts w:eastAsia="Times New Roman"/>
          <w:color w:val="auto"/>
        </w:rPr>
        <w:t>income</w:t>
      </w:r>
      <w:r w:rsidR="004F2521" w:rsidRPr="00FA4AF1">
        <w:rPr>
          <w:rFonts w:eastAsia="Times New Roman"/>
          <w:color w:val="auto"/>
        </w:rPr>
        <w:t>.</w:t>
      </w:r>
    </w:p>
    <w:p w14:paraId="56ABE3F7" w14:textId="072849D1" w:rsidR="007E22F6" w:rsidRPr="004F2521" w:rsidRDefault="007E22F6" w:rsidP="004F2521">
      <w:pPr>
        <w:pStyle w:val="xmsonormal"/>
        <w:numPr>
          <w:ilvl w:val="1"/>
          <w:numId w:val="9"/>
        </w:numPr>
        <w:shd w:val="clear" w:color="auto" w:fill="FFFFFF"/>
        <w:rPr>
          <w:rFonts w:eastAsia="Times New Roman"/>
          <w:color w:val="auto"/>
        </w:rPr>
      </w:pPr>
      <w:r w:rsidRPr="007E22F6">
        <w:rPr>
          <w:rFonts w:eastAsia="Times New Roman"/>
          <w:color w:val="auto"/>
        </w:rPr>
        <w:t xml:space="preserve">Contributions to an ABLE account from </w:t>
      </w:r>
      <w:r w:rsidR="003869E5">
        <w:rPr>
          <w:rFonts w:eastAsia="Times New Roman"/>
          <w:color w:val="auto"/>
        </w:rPr>
        <w:t>a person</w:t>
      </w:r>
      <w:r w:rsidRPr="007E22F6">
        <w:rPr>
          <w:rFonts w:eastAsia="Times New Roman"/>
          <w:color w:val="auto"/>
        </w:rPr>
        <w:t xml:space="preserve"> other than the designated beneficiary are not considered income to the beneficiary.</w:t>
      </w:r>
    </w:p>
    <w:p w14:paraId="7F8F4841" w14:textId="323A143C" w:rsidR="007B023E" w:rsidRDefault="00316A99" w:rsidP="007B023E">
      <w:pPr>
        <w:pStyle w:val="xmsonormal"/>
        <w:numPr>
          <w:ilvl w:val="1"/>
          <w:numId w:val="9"/>
        </w:numPr>
        <w:shd w:val="clear" w:color="auto" w:fill="FFFFFF"/>
        <w:rPr>
          <w:rFonts w:eastAsia="Times New Roman"/>
          <w:color w:val="auto"/>
        </w:rPr>
      </w:pPr>
      <w:r>
        <w:rPr>
          <w:rFonts w:eastAsia="Times New Roman"/>
          <w:color w:val="auto"/>
        </w:rPr>
        <w:t>F</w:t>
      </w:r>
      <w:r w:rsidR="007B023E">
        <w:rPr>
          <w:rFonts w:eastAsia="Times New Roman"/>
          <w:color w:val="auto"/>
        </w:rPr>
        <w:t xml:space="preserve">unds </w:t>
      </w:r>
      <w:r>
        <w:rPr>
          <w:rFonts w:eastAsia="Times New Roman"/>
          <w:color w:val="auto"/>
        </w:rPr>
        <w:t xml:space="preserve">held </w:t>
      </w:r>
      <w:r w:rsidR="007B023E">
        <w:rPr>
          <w:rFonts w:eastAsia="Times New Roman"/>
          <w:color w:val="auto"/>
        </w:rPr>
        <w:t>in an ABLE account</w:t>
      </w:r>
      <w:r w:rsidR="00BB6DD8" w:rsidRPr="00FA4AF1">
        <w:rPr>
          <w:rFonts w:eastAsia="Times New Roman"/>
          <w:color w:val="auto"/>
        </w:rPr>
        <w:t xml:space="preserve"> </w:t>
      </w:r>
      <w:r>
        <w:rPr>
          <w:rFonts w:eastAsia="Times New Roman"/>
          <w:color w:val="auto"/>
        </w:rPr>
        <w:t>are excluded</w:t>
      </w:r>
      <w:r w:rsidR="007B023E" w:rsidRPr="00FA4AF1">
        <w:rPr>
          <w:rFonts w:eastAsia="Times New Roman"/>
          <w:color w:val="auto"/>
        </w:rPr>
        <w:t xml:space="preserve"> from resources.</w:t>
      </w:r>
    </w:p>
    <w:p w14:paraId="06862D62" w14:textId="13316A6F" w:rsidR="003869E5" w:rsidRPr="00FA4AF1" w:rsidRDefault="003869E5" w:rsidP="007B023E">
      <w:pPr>
        <w:pStyle w:val="xmsonormal"/>
        <w:numPr>
          <w:ilvl w:val="1"/>
          <w:numId w:val="9"/>
        </w:numPr>
        <w:shd w:val="clear" w:color="auto" w:fill="FFFFFF"/>
        <w:rPr>
          <w:rFonts w:eastAsia="Times New Roman"/>
          <w:color w:val="auto"/>
        </w:rPr>
      </w:pPr>
      <w:r>
        <w:rPr>
          <w:rFonts w:eastAsia="Times New Roman"/>
          <w:color w:val="auto"/>
        </w:rPr>
        <w:t>Total annual contributions cannot exceed the federal gift tax exclusion which is $16,000 for 2022.</w:t>
      </w:r>
    </w:p>
    <w:p w14:paraId="0E63DC9E" w14:textId="58B4D601" w:rsidR="00745332" w:rsidRDefault="00E04010" w:rsidP="00745332">
      <w:pPr>
        <w:pStyle w:val="Heading2"/>
      </w:pPr>
      <w:r>
        <w:lastRenderedPageBreak/>
        <w:t>Educational</w:t>
      </w:r>
      <w:r w:rsidR="00745332">
        <w:t xml:space="preserve"> Accounts</w:t>
      </w:r>
    </w:p>
    <w:p w14:paraId="562D90CD" w14:textId="1EC87ACF" w:rsidR="007E22F6" w:rsidRDefault="007E22F6" w:rsidP="00261E59">
      <w:pPr>
        <w:pStyle w:val="xmsonormal"/>
        <w:shd w:val="clear" w:color="auto" w:fill="FFFFFF"/>
        <w:rPr>
          <w:rFonts w:eastAsia="Times New Roman"/>
          <w:color w:val="auto"/>
        </w:rPr>
      </w:pPr>
      <w:r>
        <w:rPr>
          <w:rFonts w:eastAsia="Times New Roman"/>
          <w:color w:val="auto"/>
        </w:rPr>
        <w:t>A</w:t>
      </w:r>
      <w:r w:rsidRPr="007E22F6">
        <w:rPr>
          <w:rFonts w:eastAsia="Times New Roman"/>
          <w:color w:val="auto"/>
        </w:rPr>
        <w:t>n account established for paying a designated beneficiary’s education expenses </w:t>
      </w:r>
      <w:r>
        <w:rPr>
          <w:rFonts w:eastAsia="Times New Roman"/>
          <w:color w:val="auto"/>
        </w:rPr>
        <w:t>beyond high school.</w:t>
      </w:r>
    </w:p>
    <w:p w14:paraId="329616B9" w14:textId="561747E2" w:rsidR="00601D62" w:rsidRDefault="00601D62" w:rsidP="00601D62">
      <w:pPr>
        <w:pStyle w:val="xmsonormal"/>
        <w:numPr>
          <w:ilvl w:val="0"/>
          <w:numId w:val="9"/>
        </w:numPr>
        <w:shd w:val="clear" w:color="auto" w:fill="FFFFFF"/>
        <w:rPr>
          <w:rFonts w:eastAsia="Times New Roman"/>
          <w:color w:val="auto"/>
        </w:rPr>
      </w:pPr>
      <w:r>
        <w:rPr>
          <w:rFonts w:eastAsia="Times New Roman"/>
          <w:color w:val="auto"/>
        </w:rPr>
        <w:t xml:space="preserve">For </w:t>
      </w:r>
      <w:r>
        <w:rPr>
          <w:rFonts w:eastAsia="Times New Roman"/>
          <w:b/>
          <w:bCs/>
          <w:color w:val="auto"/>
        </w:rPr>
        <w:t>All Programs</w:t>
      </w:r>
      <w:r>
        <w:rPr>
          <w:rFonts w:eastAsia="Times New Roman"/>
          <w:color w:val="auto"/>
        </w:rPr>
        <w:t xml:space="preserve"> (TANF/SNAP/</w:t>
      </w:r>
      <w:r w:rsidR="004E656A">
        <w:rPr>
          <w:rFonts w:eastAsia="Times New Roman"/>
          <w:color w:val="auto"/>
        </w:rPr>
        <w:t xml:space="preserve">all </w:t>
      </w:r>
      <w:r>
        <w:rPr>
          <w:rFonts w:eastAsia="Times New Roman"/>
          <w:color w:val="auto"/>
        </w:rPr>
        <w:t>Medicaid/CHIP):</w:t>
      </w:r>
    </w:p>
    <w:p w14:paraId="67C953EB" w14:textId="1EE276F8" w:rsidR="0094614D" w:rsidRDefault="003011AB" w:rsidP="00601D62">
      <w:pPr>
        <w:pStyle w:val="xmsonormal"/>
        <w:numPr>
          <w:ilvl w:val="1"/>
          <w:numId w:val="9"/>
        </w:numPr>
        <w:shd w:val="clear" w:color="auto" w:fill="FFFFFF"/>
        <w:rPr>
          <w:rFonts w:eastAsia="Times New Roman"/>
          <w:color w:val="auto"/>
        </w:rPr>
      </w:pPr>
      <w:r>
        <w:rPr>
          <w:rFonts w:eastAsia="Times New Roman"/>
          <w:color w:val="auto"/>
        </w:rPr>
        <w:t xml:space="preserve">Educational assistance including educational loans, </w:t>
      </w:r>
      <w:r w:rsidR="006B333E">
        <w:rPr>
          <w:rFonts w:eastAsia="Times New Roman"/>
          <w:color w:val="auto"/>
        </w:rPr>
        <w:t>scholarships</w:t>
      </w:r>
      <w:r>
        <w:rPr>
          <w:rFonts w:eastAsia="Times New Roman"/>
          <w:color w:val="auto"/>
        </w:rPr>
        <w:t xml:space="preserve"> and grant mone</w:t>
      </w:r>
      <w:r w:rsidRPr="00FA4AF1">
        <w:rPr>
          <w:rFonts w:eastAsia="Times New Roman"/>
          <w:color w:val="auto"/>
        </w:rPr>
        <w:t xml:space="preserve">y are exempt from income. </w:t>
      </w:r>
    </w:p>
    <w:p w14:paraId="42F280A3" w14:textId="79271C4F" w:rsidR="00601D62" w:rsidRPr="00CE6D7A" w:rsidRDefault="00601D62" w:rsidP="00601D62">
      <w:pPr>
        <w:pStyle w:val="xmsonormal"/>
        <w:numPr>
          <w:ilvl w:val="1"/>
          <w:numId w:val="9"/>
        </w:numPr>
        <w:shd w:val="clear" w:color="auto" w:fill="FFFFFF"/>
        <w:rPr>
          <w:rFonts w:eastAsia="Times New Roman"/>
          <w:color w:val="auto"/>
        </w:rPr>
      </w:pPr>
      <w:r>
        <w:rPr>
          <w:rFonts w:eastAsia="Times New Roman"/>
          <w:color w:val="auto"/>
        </w:rPr>
        <w:t>If the funds are placed in an educational account such as a 529 Plan</w:t>
      </w:r>
      <w:r w:rsidR="00B20338">
        <w:rPr>
          <w:rFonts w:eastAsia="Times New Roman"/>
          <w:color w:val="auto"/>
        </w:rPr>
        <w:t xml:space="preserve"> or School Based Savings acco</w:t>
      </w:r>
      <w:r w:rsidR="00B20338" w:rsidRPr="00FA4AF1">
        <w:rPr>
          <w:rFonts w:eastAsia="Times New Roman"/>
          <w:color w:val="auto"/>
        </w:rPr>
        <w:t>unt</w:t>
      </w:r>
      <w:r w:rsidRPr="00FA4AF1">
        <w:rPr>
          <w:rFonts w:eastAsia="Times New Roman"/>
          <w:color w:val="auto"/>
        </w:rPr>
        <w:t>, the balance of the account is exempt from resources.</w:t>
      </w:r>
    </w:p>
    <w:p w14:paraId="2C82D79B" w14:textId="77777777" w:rsidR="00601D62" w:rsidRPr="00601D62" w:rsidRDefault="00601D62" w:rsidP="00601D62">
      <w:pPr>
        <w:pStyle w:val="BodyTextafterheading"/>
      </w:pPr>
    </w:p>
    <w:p w14:paraId="25B04CFE" w14:textId="77777777" w:rsidR="00745332" w:rsidRPr="00745332" w:rsidRDefault="00745332" w:rsidP="00745332">
      <w:pPr>
        <w:pStyle w:val="BodyTextafterheading"/>
      </w:pPr>
    </w:p>
    <w:p w14:paraId="10DD2D4D" w14:textId="77777777" w:rsidR="00745332" w:rsidRPr="00745332" w:rsidRDefault="00745332" w:rsidP="00745332">
      <w:pPr>
        <w:pStyle w:val="BodyTextafterheading"/>
      </w:pPr>
    </w:p>
    <w:p w14:paraId="26D1AD47" w14:textId="77777777" w:rsidR="00204623" w:rsidRPr="00204623" w:rsidRDefault="00204623" w:rsidP="00204623">
      <w:pPr>
        <w:pStyle w:val="BodyTextafterheading"/>
      </w:pPr>
    </w:p>
    <w:sectPr w:rsidR="00204623" w:rsidRPr="00204623" w:rsidSect="00967E2D">
      <w:footerReference w:type="default" r:id="rId14"/>
      <w:footnotePr>
        <w:numFmt w:val="lowerLetter"/>
      </w:footnotePr>
      <w:endnotePr>
        <w:numFmt w:val="lowerLetter"/>
        <w:numRestart w:val="eachSect"/>
      </w:endnotePr>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2EF8" w14:textId="77777777" w:rsidR="009D4382" w:rsidRDefault="009D4382" w:rsidP="000E59DE">
      <w:r>
        <w:separator/>
      </w:r>
    </w:p>
    <w:p w14:paraId="4FCBE88A" w14:textId="77777777" w:rsidR="009D4382" w:rsidRDefault="009D4382" w:rsidP="000E59DE"/>
  </w:endnote>
  <w:endnote w:type="continuationSeparator" w:id="0">
    <w:p w14:paraId="38782464" w14:textId="77777777" w:rsidR="009D4382" w:rsidRDefault="009D4382" w:rsidP="000E59DE">
      <w:r>
        <w:continuationSeparator/>
      </w:r>
    </w:p>
    <w:p w14:paraId="7418DD47" w14:textId="77777777" w:rsidR="009D4382" w:rsidRDefault="009D4382" w:rsidP="000E59DE"/>
  </w:endnote>
  <w:endnote w:type="continuationNotice" w:id="1">
    <w:p w14:paraId="580C0297" w14:textId="77777777" w:rsidR="009D4382" w:rsidRPr="00BE23B2" w:rsidRDefault="009D4382" w:rsidP="000E59DE"/>
    <w:p w14:paraId="5FCC4361" w14:textId="77777777" w:rsidR="009D4382" w:rsidRDefault="009D4382"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CBC1" w14:textId="77777777" w:rsidR="00AF6941" w:rsidRPr="00DC3247" w:rsidRDefault="00AF6941"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0068AA0C" w14:textId="77777777" w:rsidR="00AF6941" w:rsidRPr="009625BB" w:rsidRDefault="00AF6941" w:rsidP="009625BB">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Revised: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9414" w14:textId="77777777" w:rsidR="00AF6941" w:rsidRPr="00DC3247" w:rsidRDefault="00AF6941"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424E6AE7" w14:textId="4B1091BA" w:rsidR="00AF6941" w:rsidRPr="00CD69EA" w:rsidRDefault="00AF6941" w:rsidP="009625BB">
    <w:pPr>
      <w:pBdr>
        <w:top w:val="single" w:sz="4" w:space="4" w:color="auto"/>
      </w:pBdr>
      <w:tabs>
        <w:tab w:val="center" w:pos="4680"/>
        <w:tab w:val="right" w:pos="9360"/>
      </w:tabs>
      <w:jc w:val="center"/>
      <w:rPr>
        <w:sz w:val="20"/>
      </w:rP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1D5371">
      <w:rPr>
        <w:sz w:val="20"/>
      </w:rPr>
      <w:t>09</w:t>
    </w:r>
    <w:r w:rsidRPr="007725BF">
      <w:rPr>
        <w:sz w:val="20"/>
      </w:rPr>
      <w:t>/</w:t>
    </w:r>
    <w:r w:rsidR="001D5371">
      <w:rPr>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A56" w14:textId="77777777" w:rsidR="00AF6941" w:rsidRPr="00DC3247" w:rsidRDefault="00AF6941"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F6CF593" w14:textId="72BA99F9" w:rsidR="00AF6941" w:rsidRPr="00D508BA" w:rsidRDefault="00AF6941" w:rsidP="00D508BA">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Pr>
        <w:b/>
        <w:sz w:val="20"/>
      </w:rPr>
      <w:t xml:space="preserve"> </w:t>
    </w:r>
    <w:r w:rsidRPr="00DC3247">
      <w:rPr>
        <w:sz w:val="20"/>
      </w:rPr>
      <w:t>●</w:t>
    </w:r>
    <w:r>
      <w:rPr>
        <w:sz w:val="20"/>
      </w:rPr>
      <w:t xml:space="preserve"> </w:t>
    </w:r>
    <w:r w:rsidRPr="007725BF">
      <w:rPr>
        <w:sz w:val="20"/>
      </w:rPr>
      <w:t xml:space="preserve">Revised: </w:t>
    </w:r>
    <w:r w:rsidR="00D23285">
      <w:rPr>
        <w:sz w:val="20"/>
      </w:rPr>
      <w:t>09</w:t>
    </w:r>
    <w:r w:rsidRPr="007725BF">
      <w:rPr>
        <w:sz w:val="20"/>
      </w:rPr>
      <w:t>/</w:t>
    </w:r>
    <w:r w:rsidR="00D23285">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9508" w14:textId="77777777" w:rsidR="009D4382" w:rsidRDefault="009D4382" w:rsidP="000E59DE">
      <w:r>
        <w:separator/>
      </w:r>
    </w:p>
  </w:footnote>
  <w:footnote w:type="continuationSeparator" w:id="0">
    <w:p w14:paraId="7B9DE909" w14:textId="77777777" w:rsidR="009D4382" w:rsidRDefault="009D4382" w:rsidP="000E59DE">
      <w:r>
        <w:continuationSeparator/>
      </w:r>
    </w:p>
  </w:footnote>
  <w:footnote w:type="continuationNotice" w:id="1">
    <w:p w14:paraId="0D49C5BD" w14:textId="77777777" w:rsidR="009D4382" w:rsidRPr="00BE23B2" w:rsidRDefault="009D4382" w:rsidP="000E59DE"/>
    <w:p w14:paraId="62338BBF" w14:textId="77777777" w:rsidR="009D4382" w:rsidRDefault="009D4382" w:rsidP="000E5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687"/>
    <w:multiLevelType w:val="multilevel"/>
    <w:tmpl w:val="1E56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C377C"/>
    <w:multiLevelType w:val="multilevel"/>
    <w:tmpl w:val="2618F04C"/>
    <w:numStyleLink w:val="HHSBullets"/>
  </w:abstractNum>
  <w:abstractNum w:abstractNumId="2" w15:restartNumberingAfterBreak="0">
    <w:nsid w:val="05234F99"/>
    <w:multiLevelType w:val="multilevel"/>
    <w:tmpl w:val="E45A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 w15:restartNumberingAfterBreak="0">
    <w:nsid w:val="212E2B0B"/>
    <w:multiLevelType w:val="hybridMultilevel"/>
    <w:tmpl w:val="3152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6"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7" w15:restartNumberingAfterBreak="0">
    <w:nsid w:val="4952252B"/>
    <w:multiLevelType w:val="hybridMultilevel"/>
    <w:tmpl w:val="1C46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C3B59"/>
    <w:multiLevelType w:val="hybridMultilevel"/>
    <w:tmpl w:val="DBD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6F137996"/>
    <w:multiLevelType w:val="multilevel"/>
    <w:tmpl w:val="1534EFD2"/>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75A2120B"/>
    <w:multiLevelType w:val="hybridMultilevel"/>
    <w:tmpl w:val="4AA2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3"/>
  </w:num>
  <w:num w:numId="6">
    <w:abstractNumId w:val="10"/>
  </w:num>
  <w:num w:numId="7">
    <w:abstractNumId w:val="2"/>
  </w:num>
  <w:num w:numId="8">
    <w:abstractNumId w:val="0"/>
  </w:num>
  <w:num w:numId="9">
    <w:abstractNumId w:val="11"/>
  </w:num>
  <w:num w:numId="10">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02"/>
    <w:rsid w:val="0000543F"/>
    <w:rsid w:val="00021D62"/>
    <w:rsid w:val="0002300D"/>
    <w:rsid w:val="00026B05"/>
    <w:rsid w:val="00035F74"/>
    <w:rsid w:val="000433D0"/>
    <w:rsid w:val="000548F5"/>
    <w:rsid w:val="000577F3"/>
    <w:rsid w:val="00063D03"/>
    <w:rsid w:val="00067170"/>
    <w:rsid w:val="000674CE"/>
    <w:rsid w:val="0007708F"/>
    <w:rsid w:val="000809F0"/>
    <w:rsid w:val="000873C7"/>
    <w:rsid w:val="00090DF9"/>
    <w:rsid w:val="00091C76"/>
    <w:rsid w:val="00097FCA"/>
    <w:rsid w:val="000A351D"/>
    <w:rsid w:val="000A5224"/>
    <w:rsid w:val="000C36D2"/>
    <w:rsid w:val="000D1794"/>
    <w:rsid w:val="000D2691"/>
    <w:rsid w:val="000D45FE"/>
    <w:rsid w:val="000D46AF"/>
    <w:rsid w:val="000D61EC"/>
    <w:rsid w:val="000E3BEC"/>
    <w:rsid w:val="000E51A1"/>
    <w:rsid w:val="000E59DE"/>
    <w:rsid w:val="000E6757"/>
    <w:rsid w:val="000F0C68"/>
    <w:rsid w:val="000F31B2"/>
    <w:rsid w:val="000F3723"/>
    <w:rsid w:val="00101F54"/>
    <w:rsid w:val="001116E2"/>
    <w:rsid w:val="00127A69"/>
    <w:rsid w:val="001354A9"/>
    <w:rsid w:val="00137306"/>
    <w:rsid w:val="00141F81"/>
    <w:rsid w:val="0014577F"/>
    <w:rsid w:val="00147BCA"/>
    <w:rsid w:val="001607C2"/>
    <w:rsid w:val="00162419"/>
    <w:rsid w:val="001706ED"/>
    <w:rsid w:val="00181FD9"/>
    <w:rsid w:val="001834EA"/>
    <w:rsid w:val="00184A85"/>
    <w:rsid w:val="00195162"/>
    <w:rsid w:val="001A6214"/>
    <w:rsid w:val="001A75D9"/>
    <w:rsid w:val="001B4DEB"/>
    <w:rsid w:val="001C2741"/>
    <w:rsid w:val="001D2476"/>
    <w:rsid w:val="001D2E60"/>
    <w:rsid w:val="001D5371"/>
    <w:rsid w:val="00204623"/>
    <w:rsid w:val="00246352"/>
    <w:rsid w:val="00250F08"/>
    <w:rsid w:val="002542B4"/>
    <w:rsid w:val="00261E59"/>
    <w:rsid w:val="00275511"/>
    <w:rsid w:val="00276923"/>
    <w:rsid w:val="00281443"/>
    <w:rsid w:val="002A672A"/>
    <w:rsid w:val="002F0249"/>
    <w:rsid w:val="002F1503"/>
    <w:rsid w:val="003011AB"/>
    <w:rsid w:val="00311B29"/>
    <w:rsid w:val="003125F6"/>
    <w:rsid w:val="00313FFD"/>
    <w:rsid w:val="00316A99"/>
    <w:rsid w:val="00327482"/>
    <w:rsid w:val="00333D56"/>
    <w:rsid w:val="00335C5B"/>
    <w:rsid w:val="00345BE3"/>
    <w:rsid w:val="00345E37"/>
    <w:rsid w:val="00363808"/>
    <w:rsid w:val="0036538B"/>
    <w:rsid w:val="00366895"/>
    <w:rsid w:val="00370238"/>
    <w:rsid w:val="003768D1"/>
    <w:rsid w:val="003869E5"/>
    <w:rsid w:val="003C7B54"/>
    <w:rsid w:val="003D1C4F"/>
    <w:rsid w:val="003D42CA"/>
    <w:rsid w:val="003D5D0A"/>
    <w:rsid w:val="003E1998"/>
    <w:rsid w:val="003E41FF"/>
    <w:rsid w:val="004003B1"/>
    <w:rsid w:val="00403CF6"/>
    <w:rsid w:val="004133C5"/>
    <w:rsid w:val="004157CA"/>
    <w:rsid w:val="00431713"/>
    <w:rsid w:val="0043784B"/>
    <w:rsid w:val="0044042D"/>
    <w:rsid w:val="00444527"/>
    <w:rsid w:val="0044514E"/>
    <w:rsid w:val="0045240D"/>
    <w:rsid w:val="004611F0"/>
    <w:rsid w:val="00470EC4"/>
    <w:rsid w:val="0047261C"/>
    <w:rsid w:val="00476A05"/>
    <w:rsid w:val="00476A13"/>
    <w:rsid w:val="00477E88"/>
    <w:rsid w:val="00480409"/>
    <w:rsid w:val="004868C4"/>
    <w:rsid w:val="00494A90"/>
    <w:rsid w:val="004A63AD"/>
    <w:rsid w:val="004B0519"/>
    <w:rsid w:val="004D3F4D"/>
    <w:rsid w:val="004E1885"/>
    <w:rsid w:val="004E656A"/>
    <w:rsid w:val="004E6AD9"/>
    <w:rsid w:val="004E7CA9"/>
    <w:rsid w:val="004F1EBB"/>
    <w:rsid w:val="004F2521"/>
    <w:rsid w:val="005461D6"/>
    <w:rsid w:val="00552CFB"/>
    <w:rsid w:val="005532BD"/>
    <w:rsid w:val="00562CB0"/>
    <w:rsid w:val="00563E92"/>
    <w:rsid w:val="00575689"/>
    <w:rsid w:val="005766BE"/>
    <w:rsid w:val="00576B0E"/>
    <w:rsid w:val="00577770"/>
    <w:rsid w:val="00581C85"/>
    <w:rsid w:val="00597C6D"/>
    <w:rsid w:val="005A52DB"/>
    <w:rsid w:val="005A6BC4"/>
    <w:rsid w:val="005B75BA"/>
    <w:rsid w:val="005C1880"/>
    <w:rsid w:val="005C2739"/>
    <w:rsid w:val="005C7B8F"/>
    <w:rsid w:val="005E2106"/>
    <w:rsid w:val="005F18C3"/>
    <w:rsid w:val="005F4FF2"/>
    <w:rsid w:val="005F54F5"/>
    <w:rsid w:val="00601D62"/>
    <w:rsid w:val="00613EF4"/>
    <w:rsid w:val="0062692E"/>
    <w:rsid w:val="00635C80"/>
    <w:rsid w:val="00637FDF"/>
    <w:rsid w:val="0065297C"/>
    <w:rsid w:val="00666716"/>
    <w:rsid w:val="006678BD"/>
    <w:rsid w:val="0068235D"/>
    <w:rsid w:val="00686F1B"/>
    <w:rsid w:val="00692774"/>
    <w:rsid w:val="00693C3C"/>
    <w:rsid w:val="00696CFF"/>
    <w:rsid w:val="006A7A64"/>
    <w:rsid w:val="006B00B9"/>
    <w:rsid w:val="006B333E"/>
    <w:rsid w:val="006B514F"/>
    <w:rsid w:val="006C4EFB"/>
    <w:rsid w:val="006D0D91"/>
    <w:rsid w:val="006D15C7"/>
    <w:rsid w:val="006E2D2A"/>
    <w:rsid w:val="006F1FDE"/>
    <w:rsid w:val="00701B23"/>
    <w:rsid w:val="00724434"/>
    <w:rsid w:val="00745332"/>
    <w:rsid w:val="00754858"/>
    <w:rsid w:val="00762C86"/>
    <w:rsid w:val="007725BF"/>
    <w:rsid w:val="00787A02"/>
    <w:rsid w:val="007A61A8"/>
    <w:rsid w:val="007B023E"/>
    <w:rsid w:val="007E0E78"/>
    <w:rsid w:val="007E22F6"/>
    <w:rsid w:val="007F19E8"/>
    <w:rsid w:val="00803D46"/>
    <w:rsid w:val="00807998"/>
    <w:rsid w:val="008102E5"/>
    <w:rsid w:val="00823377"/>
    <w:rsid w:val="00825AFD"/>
    <w:rsid w:val="008356BD"/>
    <w:rsid w:val="00845291"/>
    <w:rsid w:val="00851874"/>
    <w:rsid w:val="008572AE"/>
    <w:rsid w:val="008A6F0A"/>
    <w:rsid w:val="008A74EF"/>
    <w:rsid w:val="008B13F1"/>
    <w:rsid w:val="008B2B28"/>
    <w:rsid w:val="008D00BD"/>
    <w:rsid w:val="008E4837"/>
    <w:rsid w:val="00905276"/>
    <w:rsid w:val="009078C9"/>
    <w:rsid w:val="00911366"/>
    <w:rsid w:val="00915845"/>
    <w:rsid w:val="00915C59"/>
    <w:rsid w:val="009309B1"/>
    <w:rsid w:val="00932656"/>
    <w:rsid w:val="00940B53"/>
    <w:rsid w:val="0094614D"/>
    <w:rsid w:val="0095140B"/>
    <w:rsid w:val="00955957"/>
    <w:rsid w:val="00957C2B"/>
    <w:rsid w:val="009625BB"/>
    <w:rsid w:val="00967274"/>
    <w:rsid w:val="00967E2D"/>
    <w:rsid w:val="009738A2"/>
    <w:rsid w:val="00973974"/>
    <w:rsid w:val="009A05DC"/>
    <w:rsid w:val="009A61F5"/>
    <w:rsid w:val="009B0990"/>
    <w:rsid w:val="009B0A1A"/>
    <w:rsid w:val="009B6B38"/>
    <w:rsid w:val="009B6E1B"/>
    <w:rsid w:val="009C3D91"/>
    <w:rsid w:val="009C71F0"/>
    <w:rsid w:val="009D4382"/>
    <w:rsid w:val="009D785F"/>
    <w:rsid w:val="009D7B4D"/>
    <w:rsid w:val="009E338D"/>
    <w:rsid w:val="009E3912"/>
    <w:rsid w:val="00A01A7C"/>
    <w:rsid w:val="00A03D0F"/>
    <w:rsid w:val="00A05C85"/>
    <w:rsid w:val="00A34372"/>
    <w:rsid w:val="00A53142"/>
    <w:rsid w:val="00A608C2"/>
    <w:rsid w:val="00A71AA8"/>
    <w:rsid w:val="00A73EF7"/>
    <w:rsid w:val="00A846CD"/>
    <w:rsid w:val="00A95770"/>
    <w:rsid w:val="00AA084E"/>
    <w:rsid w:val="00AA3E9D"/>
    <w:rsid w:val="00AA6C61"/>
    <w:rsid w:val="00AA78B4"/>
    <w:rsid w:val="00AB419F"/>
    <w:rsid w:val="00AC534F"/>
    <w:rsid w:val="00AC5586"/>
    <w:rsid w:val="00AD2BB7"/>
    <w:rsid w:val="00AD2FEF"/>
    <w:rsid w:val="00AE7291"/>
    <w:rsid w:val="00AF016D"/>
    <w:rsid w:val="00AF2D0E"/>
    <w:rsid w:val="00AF6585"/>
    <w:rsid w:val="00AF6941"/>
    <w:rsid w:val="00B20338"/>
    <w:rsid w:val="00B2144C"/>
    <w:rsid w:val="00B24224"/>
    <w:rsid w:val="00B26514"/>
    <w:rsid w:val="00B26956"/>
    <w:rsid w:val="00B45EB7"/>
    <w:rsid w:val="00B52478"/>
    <w:rsid w:val="00B55BD5"/>
    <w:rsid w:val="00B62D6F"/>
    <w:rsid w:val="00B64FAD"/>
    <w:rsid w:val="00B918A0"/>
    <w:rsid w:val="00BA7E9C"/>
    <w:rsid w:val="00BB579E"/>
    <w:rsid w:val="00BB6DD8"/>
    <w:rsid w:val="00BB73E4"/>
    <w:rsid w:val="00BB7B4C"/>
    <w:rsid w:val="00BD0760"/>
    <w:rsid w:val="00BD48FA"/>
    <w:rsid w:val="00BE23B2"/>
    <w:rsid w:val="00BE638A"/>
    <w:rsid w:val="00BF68A6"/>
    <w:rsid w:val="00C01AF6"/>
    <w:rsid w:val="00C05935"/>
    <w:rsid w:val="00C067B7"/>
    <w:rsid w:val="00C1463F"/>
    <w:rsid w:val="00C214DE"/>
    <w:rsid w:val="00C22680"/>
    <w:rsid w:val="00C24769"/>
    <w:rsid w:val="00C476FA"/>
    <w:rsid w:val="00C526E4"/>
    <w:rsid w:val="00C55070"/>
    <w:rsid w:val="00C562FA"/>
    <w:rsid w:val="00C60789"/>
    <w:rsid w:val="00CA00A4"/>
    <w:rsid w:val="00CA1532"/>
    <w:rsid w:val="00CA3D89"/>
    <w:rsid w:val="00CA55CF"/>
    <w:rsid w:val="00CA7F91"/>
    <w:rsid w:val="00CB08C9"/>
    <w:rsid w:val="00CB6E95"/>
    <w:rsid w:val="00CC5572"/>
    <w:rsid w:val="00CD344A"/>
    <w:rsid w:val="00CD69EA"/>
    <w:rsid w:val="00CD74D9"/>
    <w:rsid w:val="00CE01F5"/>
    <w:rsid w:val="00CE6D7A"/>
    <w:rsid w:val="00CF0FBC"/>
    <w:rsid w:val="00D072AE"/>
    <w:rsid w:val="00D0760C"/>
    <w:rsid w:val="00D16536"/>
    <w:rsid w:val="00D23285"/>
    <w:rsid w:val="00D35F8D"/>
    <w:rsid w:val="00D508BA"/>
    <w:rsid w:val="00D57BB5"/>
    <w:rsid w:val="00D61983"/>
    <w:rsid w:val="00D63A96"/>
    <w:rsid w:val="00D659E1"/>
    <w:rsid w:val="00D7005B"/>
    <w:rsid w:val="00D7168D"/>
    <w:rsid w:val="00D71E69"/>
    <w:rsid w:val="00D8310C"/>
    <w:rsid w:val="00D86FBA"/>
    <w:rsid w:val="00D9281E"/>
    <w:rsid w:val="00DA0A59"/>
    <w:rsid w:val="00DA5426"/>
    <w:rsid w:val="00DB1DCF"/>
    <w:rsid w:val="00DC4D89"/>
    <w:rsid w:val="00DC506B"/>
    <w:rsid w:val="00DD79FB"/>
    <w:rsid w:val="00DE1A1F"/>
    <w:rsid w:val="00E04010"/>
    <w:rsid w:val="00E13888"/>
    <w:rsid w:val="00E168FC"/>
    <w:rsid w:val="00E32C2F"/>
    <w:rsid w:val="00E362FA"/>
    <w:rsid w:val="00E57ACC"/>
    <w:rsid w:val="00E651FA"/>
    <w:rsid w:val="00E670C4"/>
    <w:rsid w:val="00E77096"/>
    <w:rsid w:val="00EA1AFB"/>
    <w:rsid w:val="00EB7BDE"/>
    <w:rsid w:val="00EC7CC2"/>
    <w:rsid w:val="00ED0680"/>
    <w:rsid w:val="00ED7CD9"/>
    <w:rsid w:val="00EE12C3"/>
    <w:rsid w:val="00EE4F4A"/>
    <w:rsid w:val="00EE6AA0"/>
    <w:rsid w:val="00EE7D41"/>
    <w:rsid w:val="00EE7F1E"/>
    <w:rsid w:val="00EF0202"/>
    <w:rsid w:val="00F17C19"/>
    <w:rsid w:val="00F21889"/>
    <w:rsid w:val="00F21EEC"/>
    <w:rsid w:val="00F30535"/>
    <w:rsid w:val="00F31FE0"/>
    <w:rsid w:val="00F34ED5"/>
    <w:rsid w:val="00F420D8"/>
    <w:rsid w:val="00F4653C"/>
    <w:rsid w:val="00F5458B"/>
    <w:rsid w:val="00F54A70"/>
    <w:rsid w:val="00F71A4D"/>
    <w:rsid w:val="00F72E67"/>
    <w:rsid w:val="00F77E4E"/>
    <w:rsid w:val="00F9445A"/>
    <w:rsid w:val="00FA22DF"/>
    <w:rsid w:val="00FA4AF1"/>
    <w:rsid w:val="00FB04C5"/>
    <w:rsid w:val="00FB2C37"/>
    <w:rsid w:val="00FB2E2D"/>
    <w:rsid w:val="00FC4CA5"/>
    <w:rsid w:val="00FD3AD2"/>
    <w:rsid w:val="00FE0C8A"/>
    <w:rsid w:val="00FE5F97"/>
    <w:rsid w:val="00FF3E95"/>
    <w:rsid w:val="00FF472B"/>
    <w:rsid w:val="00FF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266C"/>
  <w15:chartTrackingRefBased/>
  <w15:docId w15:val="{7575EC72-6130-4A65-B12F-4CBF16E0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3"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967E2D"/>
    <w:rPr>
      <w:szCs w:val="20"/>
    </w:rPr>
  </w:style>
  <w:style w:type="paragraph" w:styleId="Heading1">
    <w:name w:val="heading 1"/>
    <w:next w:val="BodyTextafterheading"/>
    <w:link w:val="Heading1Char"/>
    <w:semiHidden/>
    <w:rsid w:val="00D7005B"/>
    <w:pPr>
      <w:keepNext/>
      <w:keepLines/>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A608C2"/>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CD69EA"/>
    <w:pPr>
      <w:keepNext/>
      <w:keepLines/>
      <w:spacing w:before="240" w:after="120" w:line="288" w:lineRule="auto"/>
      <w:outlineLvl w:val="2"/>
    </w:pPr>
    <w:rPr>
      <w:rFonts w:asciiTheme="majorHAnsi" w:eastAsiaTheme="majorEastAsia" w:hAnsiTheme="majorHAnsi" w:cstheme="majorBidi"/>
      <w:b/>
      <w:color w:val="005CB9"/>
      <w:sz w:val="32"/>
      <w:szCs w:val="24"/>
    </w:rPr>
  </w:style>
  <w:style w:type="paragraph" w:styleId="Heading4">
    <w:name w:val="heading 4"/>
    <w:next w:val="BodyTextafterheading"/>
    <w:link w:val="Heading4Char"/>
    <w:qFormat/>
    <w:rsid w:val="00CD69EA"/>
    <w:pPr>
      <w:keepNext/>
      <w:keepLines/>
      <w:spacing w:before="240" w:after="120" w:line="288" w:lineRule="auto"/>
      <w:outlineLvl w:val="3"/>
    </w:pPr>
    <w:rPr>
      <w:rFonts w:asciiTheme="majorHAnsi" w:eastAsiaTheme="majorEastAsia" w:hAnsiTheme="majorHAnsi" w:cstheme="majorBidi"/>
      <w:b/>
      <w:iCs/>
      <w:color w:val="022167" w:themeColor="text1"/>
      <w:sz w:val="28"/>
      <w:szCs w:val="20"/>
    </w:rPr>
  </w:style>
  <w:style w:type="paragraph" w:styleId="Heading5">
    <w:name w:val="heading 5"/>
    <w:next w:val="BodyTextafterheading"/>
    <w:link w:val="Heading5Char"/>
    <w:rsid w:val="00CD69EA"/>
    <w:pPr>
      <w:keepNext/>
      <w:keepLines/>
      <w:spacing w:before="240" w:after="120" w:line="288" w:lineRule="auto"/>
      <w:outlineLvl w:val="4"/>
    </w:pPr>
    <w:rPr>
      <w:rFonts w:asciiTheme="majorHAnsi" w:eastAsiaTheme="majorEastAsia" w:hAnsiTheme="majorHAnsi" w:cstheme="majorBidi"/>
      <w:b/>
      <w:iCs/>
      <w:color w:val="005CB9"/>
      <w:sz w:val="26"/>
      <w:szCs w:val="20"/>
    </w:rPr>
  </w:style>
  <w:style w:type="paragraph" w:styleId="Heading6">
    <w:name w:val="heading 6"/>
    <w:next w:val="BodyTextafterheading"/>
    <w:link w:val="Heading6Char"/>
    <w:qFormat/>
    <w:rsid w:val="00CD69EA"/>
    <w:pPr>
      <w:keepNext/>
      <w:keepLines/>
      <w:spacing w:before="240" w:after="120" w:line="288" w:lineRule="auto"/>
      <w:outlineLvl w:val="5"/>
    </w:pPr>
    <w:rPr>
      <w:rFonts w:asciiTheme="majorHAnsi" w:eastAsiaTheme="majorEastAsia" w:hAnsiTheme="majorHAnsi" w:cstheme="majorBidi"/>
      <w:b/>
      <w:iCs/>
      <w:color w:val="022167"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A608C2"/>
    <w:rPr>
      <w:b/>
      <w:i/>
    </w:rPr>
  </w:style>
  <w:style w:type="paragraph" w:customStyle="1" w:styleId="Heading1forLists">
    <w:name w:val="Heading 1 for Lists"/>
    <w:basedOn w:val="TOCHeading"/>
    <w:next w:val="BodyTextafterheading"/>
    <w:link w:val="Heading1forListsChar"/>
    <w:uiPriority w:val="2"/>
    <w:qFormat/>
    <w:rsid w:val="00A608C2"/>
  </w:style>
  <w:style w:type="character" w:customStyle="1" w:styleId="Heading1forListsChar">
    <w:name w:val="Heading 1 for Lists Char"/>
    <w:basedOn w:val="DefaultParagraphFont"/>
    <w:link w:val="Heading1forLists"/>
    <w:uiPriority w:val="2"/>
    <w:rsid w:val="00A608C2"/>
    <w:rPr>
      <w:rFonts w:asciiTheme="majorHAnsi" w:eastAsia="Times New Roman" w:hAnsiTheme="majorHAnsi" w:cs="Times New Roman"/>
      <w:b/>
      <w:sz w:val="40"/>
      <w:szCs w:val="24"/>
    </w:rPr>
  </w:style>
  <w:style w:type="character" w:customStyle="1" w:styleId="Heading1Char">
    <w:name w:val="Heading 1 Char"/>
    <w:basedOn w:val="DefaultParagraphFont"/>
    <w:link w:val="Heading1"/>
    <w:semiHidden/>
    <w:rsid w:val="00127A69"/>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1"/>
    <w:qFormat/>
    <w:rsid w:val="00A608C2"/>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9B6E1B"/>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9B6E1B"/>
    <w:rPr>
      <w:sz w:val="20"/>
      <w:szCs w:val="20"/>
    </w:rPr>
  </w:style>
  <w:style w:type="paragraph" w:styleId="BodyText">
    <w:name w:val="Body Text"/>
    <w:link w:val="BodyTextChar"/>
    <w:uiPriority w:val="4"/>
    <w:qFormat/>
    <w:rsid w:val="00F72E67"/>
    <w:pPr>
      <w:spacing w:before="240" w:after="240" w:line="288" w:lineRule="auto"/>
    </w:pPr>
    <w:rPr>
      <w:szCs w:val="20"/>
    </w:rPr>
  </w:style>
  <w:style w:type="character" w:customStyle="1" w:styleId="BodyTextChar">
    <w:name w:val="Body Text Char"/>
    <w:basedOn w:val="DefaultParagraphFont"/>
    <w:link w:val="BodyText"/>
    <w:uiPriority w:val="4"/>
    <w:rsid w:val="00F72E67"/>
    <w:rPr>
      <w:szCs w:val="20"/>
    </w:rPr>
  </w:style>
  <w:style w:type="paragraph" w:customStyle="1" w:styleId="BodyTextafterheading">
    <w:name w:val="Body Text after heading"/>
    <w:basedOn w:val="BodyText"/>
    <w:next w:val="BodyText"/>
    <w:link w:val="BodyTextafterheadingChar"/>
    <w:uiPriority w:val="4"/>
    <w:qFormat/>
    <w:rsid w:val="00A608C2"/>
    <w:pPr>
      <w:spacing w:before="120"/>
    </w:pPr>
  </w:style>
  <w:style w:type="character" w:customStyle="1" w:styleId="BodyTextafterheadingChar">
    <w:name w:val="Body Text after heading Char"/>
    <w:basedOn w:val="BodyTextChar"/>
    <w:link w:val="BodyTextafterheading"/>
    <w:uiPriority w:val="4"/>
    <w:rsid w:val="00A608C2"/>
    <w:rPr>
      <w:szCs w:val="20"/>
    </w:rPr>
  </w:style>
  <w:style w:type="character" w:customStyle="1" w:styleId="Heading2Char">
    <w:name w:val="Heading 2 Char"/>
    <w:basedOn w:val="DefaultParagraphFont"/>
    <w:link w:val="Heading2"/>
    <w:rsid w:val="00A608C2"/>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CD69EA"/>
    <w:rPr>
      <w:rFonts w:asciiTheme="majorHAnsi" w:eastAsiaTheme="majorEastAsia" w:hAnsiTheme="majorHAnsi" w:cstheme="majorBidi"/>
      <w:b/>
      <w:color w:val="005CB9"/>
      <w:sz w:val="32"/>
      <w:szCs w:val="24"/>
    </w:rPr>
  </w:style>
  <w:style w:type="character" w:customStyle="1" w:styleId="Heading4Char">
    <w:name w:val="Heading 4 Char"/>
    <w:basedOn w:val="DefaultParagraphFont"/>
    <w:link w:val="Heading4"/>
    <w:rsid w:val="00CD69EA"/>
    <w:rPr>
      <w:rFonts w:asciiTheme="majorHAnsi" w:eastAsiaTheme="majorEastAsia" w:hAnsiTheme="majorHAnsi" w:cstheme="majorBidi"/>
      <w:b/>
      <w:iCs/>
      <w:color w:val="022167" w:themeColor="text1"/>
      <w:sz w:val="28"/>
      <w:szCs w:val="20"/>
    </w:rPr>
  </w:style>
  <w:style w:type="character" w:customStyle="1" w:styleId="Heading6Char">
    <w:name w:val="Heading 6 Char"/>
    <w:basedOn w:val="DefaultParagraphFont"/>
    <w:link w:val="Heading6"/>
    <w:rsid w:val="00CD69EA"/>
    <w:rPr>
      <w:rFonts w:asciiTheme="majorHAnsi" w:eastAsiaTheme="majorEastAsia" w:hAnsiTheme="majorHAnsi" w:cstheme="majorBidi"/>
      <w:b/>
      <w:iCs/>
      <w:color w:val="022167" w:themeColor="text1"/>
      <w:sz w:val="24"/>
      <w:szCs w:val="20"/>
    </w:rPr>
  </w:style>
  <w:style w:type="paragraph" w:styleId="Caption">
    <w:name w:val="caption"/>
    <w:basedOn w:val="BodyText"/>
    <w:next w:val="BodyText"/>
    <w:uiPriority w:val="4"/>
    <w:qFormat/>
    <w:rsid w:val="000E51A1"/>
    <w:pPr>
      <w:keepNext/>
      <w:spacing w:before="60" w:after="60"/>
    </w:pPr>
    <w:rPr>
      <w:b/>
      <w:iCs/>
      <w:color w:val="000000" w:themeColor="text2"/>
      <w:sz w:val="20"/>
      <w:szCs w:val="18"/>
    </w:rPr>
  </w:style>
  <w:style w:type="paragraph" w:styleId="ListBullet">
    <w:name w:val="List Bullet"/>
    <w:uiPriority w:val="3"/>
    <w:qFormat/>
    <w:rsid w:val="00A608C2"/>
    <w:pPr>
      <w:numPr>
        <w:numId w:val="4"/>
      </w:numPr>
      <w:spacing w:before="120" w:after="120" w:line="288" w:lineRule="auto"/>
    </w:pPr>
    <w:rPr>
      <w:rFonts w:cs="Calibri"/>
      <w:szCs w:val="20"/>
    </w:rPr>
  </w:style>
  <w:style w:type="paragraph" w:styleId="ListNumber">
    <w:name w:val="List Number"/>
    <w:uiPriority w:val="5"/>
    <w:qFormat/>
    <w:rsid w:val="00E57ACC"/>
    <w:pPr>
      <w:numPr>
        <w:numId w:val="6"/>
      </w:numPr>
      <w:spacing w:before="120" w:after="120" w:line="288" w:lineRule="auto"/>
    </w:pPr>
    <w:rPr>
      <w:szCs w:val="20"/>
    </w:rPr>
  </w:style>
  <w:style w:type="paragraph" w:styleId="Title">
    <w:name w:val="Title"/>
    <w:basedOn w:val="Normal"/>
    <w:link w:val="TitleChar"/>
    <w:uiPriority w:val="9"/>
    <w:semiHidden/>
    <w:qFormat/>
    <w:rsid w:val="00A608C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9"/>
    <w:semiHidden/>
    <w:rsid w:val="00127A69"/>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9"/>
    <w:semiHidden/>
    <w:qFormat/>
    <w:rsid w:val="00A608C2"/>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9"/>
    <w:semiHidden/>
    <w:rsid w:val="00127A69"/>
    <w:rPr>
      <w:rFonts w:eastAsiaTheme="minorEastAsia"/>
      <w:b/>
      <w:color w:val="000000" w:themeColor="text2"/>
      <w:sz w:val="32"/>
      <w:szCs w:val="20"/>
    </w:rPr>
  </w:style>
  <w:style w:type="character" w:styleId="Strong">
    <w:name w:val="Strong"/>
    <w:uiPriority w:val="4"/>
    <w:qFormat/>
    <w:rsid w:val="00A608C2"/>
    <w:rPr>
      <w:b/>
      <w:bCs/>
    </w:rPr>
  </w:style>
  <w:style w:type="character" w:styleId="Emphasis">
    <w:name w:val="Emphasis"/>
    <w:uiPriority w:val="4"/>
    <w:qFormat/>
    <w:rsid w:val="00A608C2"/>
    <w:rPr>
      <w:i/>
      <w:iCs/>
    </w:rPr>
  </w:style>
  <w:style w:type="paragraph" w:styleId="ListParagraph">
    <w:name w:val="List Paragraph"/>
    <w:uiPriority w:val="99"/>
    <w:qFormat/>
    <w:rsid w:val="00F72E67"/>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A608C2"/>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CD69EA"/>
    <w:rPr>
      <w:rFonts w:asciiTheme="majorHAnsi" w:eastAsiaTheme="majorEastAsia" w:hAnsiTheme="majorHAnsi" w:cstheme="majorBidi"/>
      <w:b/>
      <w:iCs/>
      <w:color w:val="005CB9"/>
      <w:sz w:val="26"/>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EC7CC2"/>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cPr>
        <w:tcMar>
          <w:top w:w="0" w:type="dxa"/>
          <w:left w:w="0" w:type="dxa"/>
          <w:bottom w:w="0" w:type="dxa"/>
          <w:right w:w="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E57ACC"/>
    <w:pPr>
      <w:numPr>
        <w:numId w:val="5"/>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4"/>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1"/>
    <w:semiHidden/>
    <w:rsid w:val="00A73EF7"/>
    <w:pPr>
      <w:spacing w:after="100"/>
      <w:ind w:left="440"/>
    </w:pPr>
    <w:rPr>
      <w:rFonts w:asciiTheme="majorHAnsi" w:hAnsiTheme="majorHAnsi"/>
    </w:rPr>
  </w:style>
  <w:style w:type="paragraph" w:styleId="TOC4">
    <w:name w:val="toc 4"/>
    <w:basedOn w:val="Normal"/>
    <w:next w:val="Normal"/>
    <w:uiPriority w:val="1"/>
    <w:semiHidden/>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F72E67"/>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F72E67"/>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3"/>
      </w:numPr>
    </w:pPr>
  </w:style>
  <w:style w:type="paragraph" w:styleId="Header">
    <w:name w:val="header"/>
    <w:basedOn w:val="Normal"/>
    <w:link w:val="HeaderChar"/>
    <w:uiPriority w:val="7"/>
    <w:rsid w:val="00D072AE"/>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AB419F"/>
    <w:rPr>
      <w:szCs w:val="20"/>
    </w:rPr>
  </w:style>
  <w:style w:type="paragraph" w:styleId="TOC1">
    <w:name w:val="toc 1"/>
    <w:basedOn w:val="Normal"/>
    <w:next w:val="Normal"/>
    <w:uiPriority w:val="1"/>
    <w:semiHidden/>
    <w:rsid w:val="00AB419F"/>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0965D5"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semiHidden/>
    <w:unhideWhenUsed/>
    <w:rsid w:val="00E168FC"/>
    <w:rPr>
      <w:sz w:val="20"/>
    </w:rPr>
  </w:style>
  <w:style w:type="character" w:customStyle="1" w:styleId="CommentTextChar">
    <w:name w:val="Comment Text Char"/>
    <w:basedOn w:val="DefaultParagraphFont"/>
    <w:link w:val="CommentText"/>
    <w:uiPriority w:val="99"/>
    <w:semiHidden/>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99"/>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99"/>
    <w:rsid w:val="00AB419F"/>
    <w:rPr>
      <w:szCs w:val="20"/>
    </w:rPr>
  </w:style>
  <w:style w:type="paragraph" w:styleId="TOC2">
    <w:name w:val="toc 2"/>
    <w:basedOn w:val="Normal"/>
    <w:next w:val="Normal"/>
    <w:uiPriority w:val="1"/>
    <w:semiHidden/>
    <w:rsid w:val="006B00B9"/>
    <w:pPr>
      <w:ind w:left="216"/>
    </w:pPr>
    <w:rPr>
      <w:rFonts w:asciiTheme="majorHAnsi" w:hAnsiTheme="majorHAnsi"/>
    </w:rPr>
  </w:style>
  <w:style w:type="paragraph" w:customStyle="1" w:styleId="Rulefortopofpage1">
    <w:name w:val="Rule for top of page 1"/>
    <w:next w:val="Heading1"/>
    <w:link w:val="Rulefortopofpage1Char"/>
    <w:uiPriority w:val="94"/>
    <w:semiHidden/>
    <w:rsid w:val="00D71E69"/>
    <w:pPr>
      <w:pBdr>
        <w:bottom w:val="single" w:sz="12" w:space="0" w:color="auto"/>
      </w:pBdr>
      <w:spacing w:before="120"/>
    </w:pPr>
    <w:rPr>
      <w:sz w:val="16"/>
      <w:szCs w:val="16"/>
    </w:rPr>
  </w:style>
  <w:style w:type="character" w:customStyle="1" w:styleId="Rulefortopofpage1Char">
    <w:name w:val="Rule for top of page 1 Char"/>
    <w:basedOn w:val="DefaultParagraphFont"/>
    <w:link w:val="Rulefortopofpage1"/>
    <w:uiPriority w:val="94"/>
    <w:semiHidden/>
    <w:rsid w:val="00D71E69"/>
    <w:rPr>
      <w:sz w:val="16"/>
      <w:szCs w:val="16"/>
    </w:rPr>
  </w:style>
  <w:style w:type="paragraph" w:customStyle="1" w:styleId="Heading1Design2">
    <w:name w:val="Heading 1 Design 2"/>
    <w:basedOn w:val="Heading1"/>
    <w:next w:val="BodyTextafterheading"/>
    <w:link w:val="Heading1Design2Char"/>
    <w:rsid w:val="009625BB"/>
    <w:pPr>
      <w:spacing w:before="0"/>
      <w:ind w:left="3168"/>
      <w:jc w:val="left"/>
    </w:pPr>
  </w:style>
  <w:style w:type="paragraph" w:customStyle="1" w:styleId="Logo">
    <w:name w:val="Logo"/>
    <w:next w:val="Title"/>
    <w:link w:val="LogoChar"/>
    <w:uiPriority w:val="94"/>
    <w:semiHidden/>
    <w:rsid w:val="00BF68A6"/>
    <w:pPr>
      <w:spacing w:before="120" w:line="216" w:lineRule="auto"/>
    </w:pPr>
    <w:rPr>
      <w:color w:val="000000" w:themeColor="text2"/>
    </w:rPr>
  </w:style>
  <w:style w:type="character" w:customStyle="1" w:styleId="LogoChar">
    <w:name w:val="Logo Char"/>
    <w:basedOn w:val="DefaultParagraphFont"/>
    <w:link w:val="Logo"/>
    <w:uiPriority w:val="94"/>
    <w:semiHidden/>
    <w:rsid w:val="00BF68A6"/>
    <w:rPr>
      <w:color w:val="000000" w:themeColor="text2"/>
    </w:rPr>
  </w:style>
  <w:style w:type="character" w:customStyle="1" w:styleId="Heading1Design2Char">
    <w:name w:val="Heading 1 Design 2 Char"/>
    <w:basedOn w:val="Heading1Char"/>
    <w:link w:val="Heading1Design2"/>
    <w:rsid w:val="009625BB"/>
    <w:rPr>
      <w:rFonts w:asciiTheme="majorHAnsi" w:eastAsiaTheme="majorEastAsia" w:hAnsiTheme="majorHAnsi" w:cs="Arial"/>
      <w:b/>
      <w:color w:val="000000" w:themeColor="text2"/>
      <w:sz w:val="40"/>
      <w:szCs w:val="36"/>
    </w:rPr>
  </w:style>
  <w:style w:type="character" w:customStyle="1" w:styleId="TOCHeadingChar">
    <w:name w:val="TOC Heading Char"/>
    <w:basedOn w:val="DefaultParagraphFont"/>
    <w:link w:val="TOCHeading"/>
    <w:uiPriority w:val="1"/>
    <w:rsid w:val="00F72E67"/>
    <w:rPr>
      <w:rFonts w:asciiTheme="majorHAnsi" w:eastAsia="Times New Roman" w:hAnsiTheme="majorHAnsi" w:cs="Times New Roman"/>
      <w:b/>
      <w:sz w:val="40"/>
      <w:szCs w:val="24"/>
    </w:rPr>
  </w:style>
  <w:style w:type="paragraph" w:customStyle="1" w:styleId="xmsonormal">
    <w:name w:val="x_msonormal"/>
    <w:basedOn w:val="Normal"/>
    <w:rsid w:val="00204623"/>
    <w:rPr>
      <w:rFonts w:ascii="Verdana" w:hAnsi="Verdana" w:cs="Calibri"/>
      <w:color w:val="000000"/>
      <w:sz w:val="24"/>
      <w:szCs w:val="24"/>
    </w:rPr>
  </w:style>
  <w:style w:type="paragraph" w:customStyle="1" w:styleId="xmsolistparagraph">
    <w:name w:val="x_msolistparagraph"/>
    <w:basedOn w:val="Normal"/>
    <w:rsid w:val="00204623"/>
    <w:pPr>
      <w:ind w:left="720"/>
    </w:pPr>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7778">
      <w:bodyDiv w:val="1"/>
      <w:marLeft w:val="0"/>
      <w:marRight w:val="0"/>
      <w:marTop w:val="0"/>
      <w:marBottom w:val="0"/>
      <w:divBdr>
        <w:top w:val="none" w:sz="0" w:space="0" w:color="auto"/>
        <w:left w:val="none" w:sz="0" w:space="0" w:color="auto"/>
        <w:bottom w:val="none" w:sz="0" w:space="0" w:color="auto"/>
        <w:right w:val="none" w:sz="0" w:space="0" w:color="auto"/>
      </w:divBdr>
    </w:div>
    <w:div w:id="1060589918">
      <w:bodyDiv w:val="1"/>
      <w:marLeft w:val="0"/>
      <w:marRight w:val="0"/>
      <w:marTop w:val="0"/>
      <w:marBottom w:val="0"/>
      <w:divBdr>
        <w:top w:val="none" w:sz="0" w:space="0" w:color="auto"/>
        <w:left w:val="none" w:sz="0" w:space="0" w:color="auto"/>
        <w:bottom w:val="none" w:sz="0" w:space="0" w:color="auto"/>
        <w:right w:val="none" w:sz="0" w:space="0" w:color="auto"/>
      </w:divBdr>
    </w:div>
    <w:div w:id="1460143224">
      <w:bodyDiv w:val="1"/>
      <w:marLeft w:val="0"/>
      <w:marRight w:val="0"/>
      <w:marTop w:val="0"/>
      <w:marBottom w:val="0"/>
      <w:divBdr>
        <w:top w:val="none" w:sz="0" w:space="0" w:color="auto"/>
        <w:left w:val="none" w:sz="0" w:space="0" w:color="auto"/>
        <w:bottom w:val="none" w:sz="0" w:space="0" w:color="auto"/>
        <w:right w:val="none" w:sz="0" w:space="0" w:color="auto"/>
      </w:divBdr>
    </w:div>
    <w:div w:id="1703895237">
      <w:bodyDiv w:val="1"/>
      <w:marLeft w:val="0"/>
      <w:marRight w:val="0"/>
      <w:marTop w:val="0"/>
      <w:marBottom w:val="0"/>
      <w:divBdr>
        <w:top w:val="none" w:sz="0" w:space="0" w:color="auto"/>
        <w:left w:val="none" w:sz="0" w:space="0" w:color="auto"/>
        <w:bottom w:val="none" w:sz="0" w:space="0" w:color="auto"/>
        <w:right w:val="none" w:sz="0" w:space="0" w:color="auto"/>
      </w:divBdr>
    </w:div>
    <w:div w:id="1941835754">
      <w:bodyDiv w:val="1"/>
      <w:marLeft w:val="0"/>
      <w:marRight w:val="0"/>
      <w:marTop w:val="0"/>
      <w:marBottom w:val="0"/>
      <w:divBdr>
        <w:top w:val="none" w:sz="0" w:space="0" w:color="auto"/>
        <w:left w:val="none" w:sz="0" w:space="0" w:color="auto"/>
        <w:bottom w:val="none" w:sz="0" w:space="0" w:color="auto"/>
        <w:right w:val="none" w:sz="0" w:space="0" w:color="auto"/>
      </w:divBdr>
    </w:div>
    <w:div w:id="20354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davis\Downloads\general-design-2%20(9).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21" ma:contentTypeDescription="Create a new document." ma:contentTypeScope="" ma:versionID="228a4857f259523f72a67df0bb654ac6">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60542fc98c0c72aa0138ac8dd8a0aa1a"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element ref="ns2:Notes" minOccurs="0"/>
                <xsd:element ref="ns2:eg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Assigned To"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element name="egnu" ma:index="26" nillable="true" ma:displayName="Date and time" ma:internalName="egnu">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gnu xmlns="edc4fa76-4578-4dbc-af3c-21933bbbf574" xsi:nil="true"/>
    <Pages xmlns="edc4fa76-4578-4dbc-af3c-21933bbbf574" xsi:nil="true"/>
    <Completed xmlns="edc4fa76-4578-4dbc-af3c-21933bbbf574">false</Completed>
    <Department xmlns="edc4fa76-4578-4dbc-af3c-21933bbbf574" xsi:nil="true"/>
    <Notes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C620-A14B-4927-AC97-F43F6EBD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 ds:uri="edc4fa76-4578-4dbc-af3c-21933bbbf574"/>
  </ds:schemaRefs>
</ds:datastoreItem>
</file>

<file path=customXml/itemProps3.xml><?xml version="1.0" encoding="utf-8"?>
<ds:datastoreItem xmlns:ds="http://schemas.openxmlformats.org/officeDocument/2006/customXml" ds:itemID="{818CAF6E-6F09-4FC5-B514-8D0B57C4029D}">
  <ds:schemaRefs>
    <ds:schemaRef ds:uri="http://schemas.microsoft.com/sharepoint/v3/contenttype/forms"/>
  </ds:schemaRefs>
</ds:datastoreItem>
</file>

<file path=customXml/itemProps4.xml><?xml version="1.0" encoding="utf-8"?>
<ds:datastoreItem xmlns:ds="http://schemas.openxmlformats.org/officeDocument/2006/customXml" ds:itemID="{C58B0F61-E3AF-4479-95C0-70780888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general-design-2 (9)</Template>
  <TotalTime>8</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Davis,Hilary D (HHSC)</dc:creator>
  <cp:keywords/>
  <dc:description>Template updated 5/24/2022.</dc:description>
  <cp:lastModifiedBy>Davis,Hilary D (HHSC)</cp:lastModifiedBy>
  <cp:revision>4</cp:revision>
  <dcterms:created xsi:type="dcterms:W3CDTF">2022-09-29T01:12:00Z</dcterms:created>
  <dcterms:modified xsi:type="dcterms:W3CDTF">2022-09-29T01:15:00Z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