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5865E" w14:textId="1A0DCD08" w:rsidR="009872F1" w:rsidRPr="00071F4D" w:rsidRDefault="009872F1" w:rsidP="009872F1">
      <w:pPr>
        <w:jc w:val="center"/>
        <w:rPr>
          <w:rFonts w:ascii="Times New Roman" w:hAnsi="Times New Roman" w:cs="Times New Roman"/>
          <w:b/>
          <w:bCs/>
          <w:sz w:val="32"/>
          <w:szCs w:val="32"/>
        </w:rPr>
      </w:pPr>
      <w:r w:rsidRPr="00071F4D">
        <w:rPr>
          <w:rFonts w:ascii="Times New Roman" w:hAnsi="Times New Roman" w:cs="Times New Roman"/>
          <w:b/>
          <w:bCs/>
          <w:sz w:val="32"/>
          <w:szCs w:val="32"/>
        </w:rPr>
        <w:t>NOTICE OF TENANTS</w:t>
      </w:r>
      <w:r w:rsidR="009F7289">
        <w:rPr>
          <w:rFonts w:ascii="Times New Roman" w:hAnsi="Times New Roman" w:cs="Times New Roman"/>
          <w:b/>
          <w:bCs/>
          <w:sz w:val="32"/>
          <w:szCs w:val="32"/>
        </w:rPr>
        <w:t xml:space="preserve">’ </w:t>
      </w:r>
      <w:r w:rsidRPr="00071F4D">
        <w:rPr>
          <w:rFonts w:ascii="Times New Roman" w:hAnsi="Times New Roman" w:cs="Times New Roman"/>
          <w:b/>
          <w:bCs/>
          <w:sz w:val="32"/>
          <w:szCs w:val="32"/>
        </w:rPr>
        <w:t>RIGHTS</w:t>
      </w:r>
    </w:p>
    <w:p w14:paraId="6A4332B8" w14:textId="2BB0CB16" w:rsidR="009872F1" w:rsidRPr="00612122" w:rsidRDefault="004659CD" w:rsidP="00A37E97">
      <w:pPr>
        <w:jc w:val="both"/>
        <w:rPr>
          <w:rFonts w:ascii="Times New Roman" w:hAnsi="Times New Roman" w:cs="Times New Roman"/>
          <w:sz w:val="24"/>
          <w:szCs w:val="24"/>
        </w:rPr>
      </w:pPr>
      <w:r w:rsidRPr="00612122">
        <w:rPr>
          <w:rFonts w:ascii="Times New Roman" w:hAnsi="Times New Roman" w:cs="Times New Roman"/>
          <w:b/>
          <w:bCs/>
          <w:sz w:val="24"/>
          <w:szCs w:val="24"/>
        </w:rPr>
        <w:t>Ordinance -</w:t>
      </w:r>
      <w:r w:rsidRPr="00612122">
        <w:rPr>
          <w:rFonts w:ascii="Times New Roman" w:hAnsi="Times New Roman" w:cs="Times New Roman"/>
          <w:sz w:val="24"/>
          <w:szCs w:val="24"/>
        </w:rPr>
        <w:t xml:space="preserve"> </w:t>
      </w:r>
      <w:r w:rsidR="009872F1" w:rsidRPr="00612122">
        <w:rPr>
          <w:rFonts w:ascii="Times New Roman" w:hAnsi="Times New Roman" w:cs="Times New Roman"/>
          <w:sz w:val="24"/>
          <w:szCs w:val="24"/>
        </w:rPr>
        <w:t xml:space="preserve">On </w:t>
      </w:r>
      <w:proofErr w:type="gramStart"/>
      <w:r w:rsidR="009872F1" w:rsidRPr="00612122">
        <w:rPr>
          <w:rFonts w:ascii="Times New Roman" w:hAnsi="Times New Roman" w:cs="Times New Roman"/>
          <w:sz w:val="24"/>
          <w:szCs w:val="24"/>
        </w:rPr>
        <w:t>June 25</w:t>
      </w:r>
      <w:r w:rsidR="009872F1" w:rsidRPr="00612122">
        <w:rPr>
          <w:rFonts w:ascii="Times New Roman" w:hAnsi="Times New Roman" w:cs="Times New Roman"/>
          <w:sz w:val="24"/>
          <w:szCs w:val="24"/>
          <w:vertAlign w:val="superscript"/>
        </w:rPr>
        <w:t>th</w:t>
      </w:r>
      <w:r w:rsidR="009872F1" w:rsidRPr="00612122">
        <w:rPr>
          <w:rFonts w:ascii="Times New Roman" w:hAnsi="Times New Roman" w:cs="Times New Roman"/>
          <w:sz w:val="24"/>
          <w:szCs w:val="24"/>
        </w:rPr>
        <w:t>, 2020</w:t>
      </w:r>
      <w:proofErr w:type="gramEnd"/>
      <w:r w:rsidR="009872F1" w:rsidRPr="00612122">
        <w:rPr>
          <w:rFonts w:ascii="Times New Roman" w:hAnsi="Times New Roman" w:cs="Times New Roman"/>
          <w:sz w:val="24"/>
          <w:szCs w:val="24"/>
        </w:rPr>
        <w:t xml:space="preserve"> The City of San Antonio </w:t>
      </w:r>
      <w:r w:rsidR="00612122">
        <w:rPr>
          <w:rFonts w:ascii="Times New Roman" w:hAnsi="Times New Roman" w:cs="Times New Roman"/>
          <w:sz w:val="24"/>
          <w:szCs w:val="24"/>
        </w:rPr>
        <w:t>approved</w:t>
      </w:r>
      <w:r w:rsidR="009872F1" w:rsidRPr="00612122">
        <w:rPr>
          <w:rFonts w:ascii="Times New Roman" w:hAnsi="Times New Roman" w:cs="Times New Roman"/>
          <w:sz w:val="24"/>
          <w:szCs w:val="24"/>
        </w:rPr>
        <w:t xml:space="preserve"> ordinance #2020-06-25-045. This ordinance requires that a Notice of Tenants’ Rights must be attached to all Notices to Vacate for Non-Payment of Rent</w:t>
      </w:r>
      <w:r w:rsidRPr="00612122">
        <w:rPr>
          <w:rFonts w:ascii="Times New Roman" w:hAnsi="Times New Roman" w:cs="Times New Roman"/>
          <w:sz w:val="24"/>
          <w:szCs w:val="24"/>
        </w:rPr>
        <w:t xml:space="preserve"> effective July 25, 2020</w:t>
      </w:r>
      <w:r w:rsidR="009872F1" w:rsidRPr="00612122">
        <w:rPr>
          <w:rFonts w:ascii="Times New Roman" w:hAnsi="Times New Roman" w:cs="Times New Roman"/>
          <w:sz w:val="24"/>
          <w:szCs w:val="24"/>
        </w:rPr>
        <w:t>. This applies to all residential properties within the City of San Antonio. The ordinance requires that the notice be delivered in both English and Spanish</w:t>
      </w:r>
      <w:r w:rsidR="00071F4D" w:rsidRPr="00612122">
        <w:rPr>
          <w:rFonts w:ascii="Times New Roman" w:hAnsi="Times New Roman" w:cs="Times New Roman"/>
          <w:sz w:val="24"/>
          <w:szCs w:val="24"/>
        </w:rPr>
        <w:t xml:space="preserve">. </w:t>
      </w:r>
    </w:p>
    <w:p w14:paraId="35A179F4" w14:textId="2E836BA9" w:rsidR="00071F4D" w:rsidRPr="00612122" w:rsidRDefault="004659CD" w:rsidP="00A37E97">
      <w:pPr>
        <w:jc w:val="both"/>
        <w:rPr>
          <w:rFonts w:ascii="Times New Roman" w:hAnsi="Times New Roman" w:cs="Times New Roman"/>
          <w:sz w:val="24"/>
          <w:szCs w:val="24"/>
        </w:rPr>
      </w:pPr>
      <w:r w:rsidRPr="00612122">
        <w:rPr>
          <w:rFonts w:ascii="Times New Roman" w:hAnsi="Times New Roman" w:cs="Times New Roman"/>
          <w:b/>
          <w:bCs/>
          <w:sz w:val="24"/>
          <w:szCs w:val="24"/>
        </w:rPr>
        <w:t>Forms -</w:t>
      </w:r>
      <w:r w:rsidRPr="00612122">
        <w:rPr>
          <w:rFonts w:ascii="Times New Roman" w:hAnsi="Times New Roman" w:cs="Times New Roman"/>
          <w:sz w:val="24"/>
          <w:szCs w:val="24"/>
        </w:rPr>
        <w:t xml:space="preserve">  The Notice of Tenant’s Rights form that must be issued per the ordinance with the notices to vacate can be found here: </w:t>
      </w:r>
      <w:hyperlink r:id="rId7" w:history="1">
        <w:r w:rsidRPr="00612122">
          <w:rPr>
            <w:rStyle w:val="Hyperlink"/>
            <w:rFonts w:ascii="Times New Roman" w:hAnsi="Times New Roman" w:cs="Times New Roman"/>
            <w:sz w:val="24"/>
            <w:szCs w:val="24"/>
          </w:rPr>
          <w:t>https://covid19.sanantonio.gov/files/assets/public/fil</w:t>
        </w:r>
        <w:r w:rsidRPr="00612122">
          <w:rPr>
            <w:rStyle w:val="Hyperlink"/>
            <w:rFonts w:ascii="Times New Roman" w:hAnsi="Times New Roman" w:cs="Times New Roman"/>
            <w:sz w:val="24"/>
            <w:szCs w:val="24"/>
          </w:rPr>
          <w:t xml:space="preserve"> </w:t>
        </w:r>
        <w:r w:rsidRPr="00612122">
          <w:rPr>
            <w:rStyle w:val="Hyperlink"/>
            <w:rFonts w:ascii="Times New Roman" w:hAnsi="Times New Roman" w:cs="Times New Roman"/>
            <w:sz w:val="24"/>
            <w:szCs w:val="24"/>
          </w:rPr>
          <w:t>es/other-languages/housing/cosa-nhsd-noticerights-en.pdf</w:t>
        </w:r>
      </w:hyperlink>
      <w:r w:rsidR="00515822" w:rsidRPr="00612122">
        <w:rPr>
          <w:rFonts w:ascii="Times New Roman" w:hAnsi="Times New Roman" w:cs="Times New Roman"/>
          <w:sz w:val="24"/>
          <w:szCs w:val="24"/>
        </w:rPr>
        <w:t>.</w:t>
      </w:r>
      <w:r w:rsidRPr="00612122">
        <w:rPr>
          <w:rFonts w:ascii="Times New Roman" w:hAnsi="Times New Roman" w:cs="Times New Roman"/>
          <w:sz w:val="24"/>
          <w:szCs w:val="24"/>
        </w:rPr>
        <w:t xml:space="preserve"> </w:t>
      </w:r>
      <w:r w:rsidR="00B95BBB">
        <w:rPr>
          <w:rFonts w:ascii="Times New Roman" w:hAnsi="Times New Roman" w:cs="Times New Roman"/>
          <w:sz w:val="24"/>
          <w:szCs w:val="24"/>
        </w:rPr>
        <w:t>Other</w:t>
      </w:r>
      <w:r w:rsidRPr="00612122">
        <w:rPr>
          <w:rFonts w:ascii="Times New Roman" w:hAnsi="Times New Roman" w:cs="Times New Roman"/>
          <w:sz w:val="24"/>
          <w:szCs w:val="24"/>
        </w:rPr>
        <w:t xml:space="preserve"> information such as the notice in another language other than English or Spanish, may be found at </w:t>
      </w:r>
      <w:hyperlink w:history="1">
        <w:r w:rsidRPr="00612122">
          <w:rPr>
            <w:rStyle w:val="Hyperlink"/>
            <w:rFonts w:ascii="Times New Roman" w:hAnsi="Times New Roman" w:cs="Times New Roman"/>
            <w:sz w:val="24"/>
            <w:szCs w:val="24"/>
          </w:rPr>
          <w:t>https://covid19.sana</w:t>
        </w:r>
        <w:r w:rsidRPr="00612122">
          <w:rPr>
            <w:rStyle w:val="Hyperlink"/>
            <w:rFonts w:ascii="Times New Roman" w:hAnsi="Times New Roman" w:cs="Times New Roman"/>
            <w:sz w:val="24"/>
            <w:szCs w:val="24"/>
          </w:rPr>
          <w:t xml:space="preserve"> </w:t>
        </w:r>
        <w:r w:rsidRPr="00612122">
          <w:rPr>
            <w:rStyle w:val="Hyperlink"/>
            <w:rFonts w:ascii="Times New Roman" w:hAnsi="Times New Roman" w:cs="Times New Roman"/>
            <w:sz w:val="24"/>
            <w:szCs w:val="24"/>
          </w:rPr>
          <w:t>ntonio.gov/Assistance/Residents/Housing-Evictions</w:t>
        </w:r>
      </w:hyperlink>
      <w:r w:rsidR="00515822" w:rsidRPr="00612122">
        <w:rPr>
          <w:rFonts w:ascii="Times New Roman" w:hAnsi="Times New Roman" w:cs="Times New Roman"/>
          <w:sz w:val="24"/>
          <w:szCs w:val="24"/>
        </w:rPr>
        <w:t>.</w:t>
      </w:r>
      <w:r w:rsidRPr="00612122">
        <w:rPr>
          <w:rFonts w:ascii="Times New Roman" w:hAnsi="Times New Roman" w:cs="Times New Roman"/>
          <w:sz w:val="24"/>
          <w:szCs w:val="24"/>
        </w:rPr>
        <w:t xml:space="preserve"> </w:t>
      </w:r>
      <w:r w:rsidR="00A37E97" w:rsidRPr="00612122">
        <w:rPr>
          <w:rFonts w:ascii="Times New Roman" w:hAnsi="Times New Roman" w:cs="Times New Roman"/>
          <w:sz w:val="24"/>
          <w:szCs w:val="24"/>
        </w:rPr>
        <w:t>The landlord may not modify the Notice of Tenant’s Rights forms and should deliver them with the Notice to Vacate as is.</w:t>
      </w:r>
    </w:p>
    <w:p w14:paraId="34D2CDA4" w14:textId="7EC1FA9D" w:rsidR="009872F1" w:rsidRPr="00612122" w:rsidRDefault="004659CD" w:rsidP="00A37E97">
      <w:pPr>
        <w:jc w:val="both"/>
        <w:rPr>
          <w:rFonts w:ascii="Times New Roman" w:hAnsi="Times New Roman" w:cs="Times New Roman"/>
          <w:sz w:val="24"/>
          <w:szCs w:val="24"/>
        </w:rPr>
      </w:pPr>
      <w:r w:rsidRPr="00612122">
        <w:rPr>
          <w:rFonts w:ascii="Times New Roman" w:hAnsi="Times New Roman" w:cs="Times New Roman"/>
          <w:b/>
          <w:bCs/>
          <w:sz w:val="24"/>
          <w:szCs w:val="24"/>
        </w:rPr>
        <w:t>Non-Compliance by Landlord</w:t>
      </w:r>
      <w:r w:rsidRPr="00612122">
        <w:rPr>
          <w:rFonts w:ascii="Times New Roman" w:hAnsi="Times New Roman" w:cs="Times New Roman"/>
          <w:sz w:val="24"/>
          <w:szCs w:val="24"/>
        </w:rPr>
        <w:t xml:space="preserve"> – If a landlord fails to comply with the ordinance, the first violation will result in a warning. Additional violations may result in a</w:t>
      </w:r>
      <w:r w:rsidR="00A37E97" w:rsidRPr="00612122">
        <w:rPr>
          <w:rFonts w:ascii="Times New Roman" w:hAnsi="Times New Roman" w:cs="Times New Roman"/>
          <w:sz w:val="24"/>
          <w:szCs w:val="24"/>
        </w:rPr>
        <w:t xml:space="preserve"> fine of up to $500.00 for each</w:t>
      </w:r>
      <w:r w:rsidRPr="00612122">
        <w:rPr>
          <w:rFonts w:ascii="Times New Roman" w:hAnsi="Times New Roman" w:cs="Times New Roman"/>
          <w:sz w:val="24"/>
          <w:szCs w:val="24"/>
        </w:rPr>
        <w:t xml:space="preserve"> violation. The cases are to be handled by Code Enforcement for the City and be tried in Municipal Court. However, these fines and non-compliance by the landlord regarding the ordinance are </w:t>
      </w:r>
      <w:r w:rsidR="00612122" w:rsidRPr="00612122">
        <w:rPr>
          <w:rFonts w:ascii="Times New Roman" w:hAnsi="Times New Roman" w:cs="Times New Roman"/>
          <w:b/>
          <w:bCs/>
          <w:sz w:val="24"/>
          <w:szCs w:val="24"/>
          <w:u w:val="single"/>
        </w:rPr>
        <w:t>not</w:t>
      </w:r>
      <w:r w:rsidRPr="00612122">
        <w:rPr>
          <w:rFonts w:ascii="Times New Roman" w:hAnsi="Times New Roman" w:cs="Times New Roman"/>
          <w:sz w:val="24"/>
          <w:szCs w:val="24"/>
        </w:rPr>
        <w:t xml:space="preserve"> defenses</w:t>
      </w:r>
      <w:r w:rsidR="00A37E97" w:rsidRPr="00612122">
        <w:rPr>
          <w:rFonts w:ascii="Times New Roman" w:hAnsi="Times New Roman" w:cs="Times New Roman"/>
          <w:sz w:val="24"/>
          <w:szCs w:val="24"/>
        </w:rPr>
        <w:t xml:space="preserve"> for a tenant during eviction proceedings. Issues with the ordinance and the eviction process are separate.</w:t>
      </w:r>
    </w:p>
    <w:p w14:paraId="72E94C0E" w14:textId="5798020E" w:rsidR="00A37E97" w:rsidRPr="00612122" w:rsidRDefault="00477879" w:rsidP="00A37E97">
      <w:pPr>
        <w:jc w:val="both"/>
        <w:rPr>
          <w:rFonts w:ascii="Times New Roman" w:hAnsi="Times New Roman" w:cs="Times New Roman"/>
          <w:sz w:val="24"/>
          <w:szCs w:val="24"/>
        </w:rPr>
      </w:pPr>
      <w:r w:rsidRPr="00612122">
        <w:rPr>
          <w:rFonts w:ascii="Times New Roman" w:hAnsi="Times New Roman" w:cs="Times New Roman"/>
          <w:b/>
          <w:bCs/>
          <w:sz w:val="24"/>
          <w:szCs w:val="24"/>
        </w:rPr>
        <w:t>Effect of the Ordinance</w:t>
      </w:r>
      <w:r w:rsidRPr="00612122">
        <w:rPr>
          <w:rFonts w:ascii="Times New Roman" w:hAnsi="Times New Roman" w:cs="Times New Roman"/>
          <w:sz w:val="24"/>
          <w:szCs w:val="24"/>
        </w:rPr>
        <w:t xml:space="preserve"> – While violations of the ordinance will not have any effect on the eviction process, the aim of the ordinance is an attempt to prevent homelessness during these trying times. Having the landlord deliver these notices, not only provides the tenant with valuable information </w:t>
      </w:r>
      <w:r w:rsidR="00A37E97" w:rsidRPr="00612122">
        <w:rPr>
          <w:rFonts w:ascii="Times New Roman" w:hAnsi="Times New Roman" w:cs="Times New Roman"/>
          <w:sz w:val="24"/>
          <w:szCs w:val="24"/>
        </w:rPr>
        <w:t xml:space="preserve">and resources, </w:t>
      </w:r>
      <w:r w:rsidRPr="00612122">
        <w:rPr>
          <w:rFonts w:ascii="Times New Roman" w:hAnsi="Times New Roman" w:cs="Times New Roman"/>
          <w:sz w:val="24"/>
          <w:szCs w:val="24"/>
        </w:rPr>
        <w:t>but also allows</w:t>
      </w:r>
      <w:r w:rsidR="00A37E97" w:rsidRPr="00612122">
        <w:rPr>
          <w:rFonts w:ascii="Times New Roman" w:hAnsi="Times New Roman" w:cs="Times New Roman"/>
          <w:sz w:val="24"/>
          <w:szCs w:val="24"/>
        </w:rPr>
        <w:t xml:space="preserve"> the landlord and the tenant to communicate</w:t>
      </w:r>
      <w:r w:rsidR="00B95BBB">
        <w:rPr>
          <w:rFonts w:ascii="Times New Roman" w:hAnsi="Times New Roman" w:cs="Times New Roman"/>
          <w:sz w:val="24"/>
          <w:szCs w:val="24"/>
        </w:rPr>
        <w:t xml:space="preserve">. This may lead to an </w:t>
      </w:r>
      <w:r w:rsidR="00A37E97" w:rsidRPr="00612122">
        <w:rPr>
          <w:rFonts w:ascii="Times New Roman" w:hAnsi="Times New Roman" w:cs="Times New Roman"/>
          <w:sz w:val="24"/>
          <w:szCs w:val="24"/>
        </w:rPr>
        <w:t>agreement. The ordinance was also put in place to clarify t</w:t>
      </w:r>
      <w:r w:rsidR="00612122" w:rsidRPr="00612122">
        <w:rPr>
          <w:rFonts w:ascii="Times New Roman" w:hAnsi="Times New Roman" w:cs="Times New Roman"/>
          <w:sz w:val="24"/>
          <w:szCs w:val="24"/>
        </w:rPr>
        <w:t>o tenants that</w:t>
      </w:r>
      <w:r w:rsidR="00A37E97" w:rsidRPr="00612122">
        <w:rPr>
          <w:rFonts w:ascii="Times New Roman" w:hAnsi="Times New Roman" w:cs="Times New Roman"/>
          <w:sz w:val="24"/>
          <w:szCs w:val="24"/>
        </w:rPr>
        <w:t xml:space="preserve"> a Notice to Vacate is not an eviction and the tenant does not have to leave the property immediately.</w:t>
      </w:r>
    </w:p>
    <w:p w14:paraId="07BDBF41" w14:textId="1997BC13" w:rsidR="009872F1" w:rsidRPr="00612122" w:rsidRDefault="00A37E97" w:rsidP="00612122">
      <w:pPr>
        <w:jc w:val="both"/>
        <w:rPr>
          <w:rFonts w:ascii="Times New Roman" w:hAnsi="Times New Roman" w:cs="Times New Roman"/>
          <w:sz w:val="24"/>
          <w:szCs w:val="24"/>
        </w:rPr>
      </w:pPr>
      <w:r w:rsidRPr="00612122">
        <w:rPr>
          <w:rFonts w:ascii="Times New Roman" w:hAnsi="Times New Roman" w:cs="Times New Roman"/>
          <w:b/>
          <w:bCs/>
          <w:sz w:val="24"/>
          <w:szCs w:val="24"/>
        </w:rPr>
        <w:t>Reporting a Violation</w:t>
      </w:r>
      <w:r w:rsidRPr="00612122">
        <w:rPr>
          <w:rFonts w:ascii="Times New Roman" w:hAnsi="Times New Roman" w:cs="Times New Roman"/>
          <w:sz w:val="24"/>
          <w:szCs w:val="24"/>
        </w:rPr>
        <w:t xml:space="preserve"> </w:t>
      </w:r>
      <w:r w:rsidR="00612122" w:rsidRPr="00612122">
        <w:rPr>
          <w:rFonts w:ascii="Times New Roman" w:hAnsi="Times New Roman" w:cs="Times New Roman"/>
          <w:sz w:val="24"/>
          <w:szCs w:val="24"/>
        </w:rPr>
        <w:t>–</w:t>
      </w:r>
      <w:r w:rsidRPr="00612122">
        <w:rPr>
          <w:rFonts w:ascii="Times New Roman" w:hAnsi="Times New Roman" w:cs="Times New Roman"/>
          <w:sz w:val="24"/>
          <w:szCs w:val="24"/>
        </w:rPr>
        <w:t xml:space="preserve"> </w:t>
      </w:r>
      <w:r w:rsidR="00612122" w:rsidRPr="00612122">
        <w:rPr>
          <w:rFonts w:ascii="Times New Roman" w:hAnsi="Times New Roman" w:cs="Times New Roman"/>
          <w:sz w:val="24"/>
          <w:szCs w:val="24"/>
        </w:rPr>
        <w:t>A complaint for non-compliance may be submitted to the City for investigation through Neighborhood and Housing Services or Code Enforcement. The bes</w:t>
      </w:r>
      <w:r w:rsidR="00B95BBB">
        <w:rPr>
          <w:rFonts w:ascii="Times New Roman" w:hAnsi="Times New Roman" w:cs="Times New Roman"/>
          <w:sz w:val="24"/>
          <w:szCs w:val="24"/>
        </w:rPr>
        <w:t>t way to report a violation is to call 311.</w:t>
      </w:r>
    </w:p>
    <w:sectPr w:rsidR="009872F1" w:rsidRPr="0061212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646A00" w14:textId="77777777" w:rsidR="00A10F11" w:rsidRDefault="00A10F11" w:rsidP="009872F1">
      <w:pPr>
        <w:spacing w:after="0" w:line="240" w:lineRule="auto"/>
      </w:pPr>
      <w:r>
        <w:separator/>
      </w:r>
    </w:p>
  </w:endnote>
  <w:endnote w:type="continuationSeparator" w:id="0">
    <w:p w14:paraId="3042FDEF" w14:textId="77777777" w:rsidR="00A10F11" w:rsidRDefault="00A10F11" w:rsidP="00987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E3BC3A" w14:textId="77777777" w:rsidR="00A10F11" w:rsidRDefault="00A10F11" w:rsidP="009872F1">
      <w:pPr>
        <w:spacing w:after="0" w:line="240" w:lineRule="auto"/>
      </w:pPr>
      <w:r>
        <w:separator/>
      </w:r>
    </w:p>
  </w:footnote>
  <w:footnote w:type="continuationSeparator" w:id="0">
    <w:p w14:paraId="6D5017DB" w14:textId="77777777" w:rsidR="00A10F11" w:rsidRDefault="00A10F11" w:rsidP="00987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335"/>
      <w:gridCol w:w="2052"/>
      <w:gridCol w:w="3193"/>
    </w:tblGrid>
    <w:tr w:rsidR="009872F1" w:rsidRPr="009872F1" w14:paraId="34B52E54" w14:textId="77777777" w:rsidTr="001649E1">
      <w:tc>
        <w:tcPr>
          <w:tcW w:w="4335" w:type="dxa"/>
        </w:tcPr>
        <w:p w14:paraId="6C2912AB" w14:textId="77777777" w:rsidR="009872F1" w:rsidRPr="009872F1" w:rsidRDefault="009872F1" w:rsidP="009872F1">
          <w:pPr>
            <w:spacing w:after="0" w:line="240" w:lineRule="auto"/>
            <w:rPr>
              <w:rFonts w:ascii="Times New Roman" w:eastAsia="Times New Roman" w:hAnsi="Times New Roman" w:cs="Times New Roman"/>
              <w:color w:val="000000"/>
            </w:rPr>
          </w:pPr>
          <w:bookmarkStart w:id="0" w:name="_Hlk46758947"/>
          <w:r w:rsidRPr="009872F1">
            <w:rPr>
              <w:rFonts w:ascii="Times New Roman" w:eastAsia="Times New Roman" w:hAnsi="Times New Roman" w:cs="Times New Roman"/>
              <w:color w:val="000000"/>
            </w:rPr>
            <w:t xml:space="preserve">San Antonio Legal Services Association </w:t>
          </w:r>
        </w:p>
        <w:p w14:paraId="7EBE1FFB" w14:textId="77777777" w:rsidR="009872F1" w:rsidRPr="009872F1" w:rsidRDefault="009872F1" w:rsidP="009872F1">
          <w:pPr>
            <w:spacing w:after="0" w:line="240" w:lineRule="auto"/>
            <w:rPr>
              <w:rFonts w:ascii="Times New Roman" w:eastAsia="Times New Roman" w:hAnsi="Times New Roman" w:cs="Times New Roman"/>
              <w:color w:val="000000"/>
            </w:rPr>
          </w:pPr>
          <w:r w:rsidRPr="009872F1">
            <w:rPr>
              <w:rFonts w:ascii="Times New Roman" w:eastAsia="Times New Roman" w:hAnsi="Times New Roman" w:cs="Times New Roman"/>
              <w:color w:val="000000"/>
            </w:rPr>
            <w:t>P.O. Box 12404, San Antonio, TX 78212</w:t>
          </w:r>
        </w:p>
        <w:p w14:paraId="5EDDD5BF" w14:textId="77777777" w:rsidR="009872F1" w:rsidRPr="009872F1" w:rsidRDefault="009872F1" w:rsidP="009872F1">
          <w:pPr>
            <w:tabs>
              <w:tab w:val="center" w:pos="4680"/>
              <w:tab w:val="right" w:pos="9360"/>
            </w:tabs>
            <w:spacing w:after="0" w:line="240" w:lineRule="auto"/>
            <w:ind w:left="-115"/>
            <w:rPr>
              <w:rFonts w:ascii="Times New Roman" w:eastAsia="Times New Roman" w:hAnsi="Times New Roman" w:cs="Times New Roman"/>
              <w:color w:val="000000"/>
            </w:rPr>
          </w:pPr>
          <w:r w:rsidRPr="009872F1">
            <w:rPr>
              <w:rFonts w:ascii="Times New Roman" w:eastAsia="Times New Roman" w:hAnsi="Times New Roman" w:cs="Times New Roman"/>
              <w:color w:val="000000"/>
            </w:rPr>
            <w:t xml:space="preserve">  </w:t>
          </w:r>
          <w:hyperlink r:id="rId1" w:history="1">
            <w:r w:rsidRPr="009872F1">
              <w:rPr>
                <w:rFonts w:ascii="Cambria" w:eastAsia="Cambria" w:hAnsi="Cambria" w:cs="Cambria"/>
                <w:color w:val="0000FF"/>
                <w:u w:val="single"/>
              </w:rPr>
              <w:t>www.sa-lsa.org</w:t>
            </w:r>
          </w:hyperlink>
        </w:p>
        <w:p w14:paraId="7F5DDA13" w14:textId="77777777" w:rsidR="009872F1" w:rsidRPr="009872F1" w:rsidRDefault="009872F1" w:rsidP="009872F1">
          <w:pPr>
            <w:tabs>
              <w:tab w:val="center" w:pos="4680"/>
              <w:tab w:val="right" w:pos="9360"/>
            </w:tabs>
            <w:spacing w:after="0" w:line="240" w:lineRule="auto"/>
            <w:ind w:left="-115"/>
            <w:rPr>
              <w:rFonts w:ascii="Cambria" w:eastAsia="MS Mincho" w:hAnsi="Cambria" w:cs="Times New Roman"/>
              <w:sz w:val="24"/>
              <w:szCs w:val="24"/>
            </w:rPr>
          </w:pPr>
        </w:p>
      </w:tc>
      <w:tc>
        <w:tcPr>
          <w:tcW w:w="2052" w:type="dxa"/>
        </w:tcPr>
        <w:p w14:paraId="4E83F500" w14:textId="77777777" w:rsidR="009872F1" w:rsidRPr="009872F1" w:rsidRDefault="009872F1" w:rsidP="009872F1">
          <w:pPr>
            <w:tabs>
              <w:tab w:val="center" w:pos="4680"/>
              <w:tab w:val="right" w:pos="9360"/>
            </w:tabs>
            <w:spacing w:after="0" w:line="240" w:lineRule="auto"/>
            <w:jc w:val="center"/>
            <w:rPr>
              <w:rFonts w:ascii="Cambria" w:eastAsia="MS Mincho" w:hAnsi="Cambria" w:cs="Times New Roman"/>
              <w:sz w:val="24"/>
              <w:szCs w:val="24"/>
            </w:rPr>
          </w:pPr>
        </w:p>
      </w:tc>
      <w:tc>
        <w:tcPr>
          <w:tcW w:w="3193" w:type="dxa"/>
        </w:tcPr>
        <w:p w14:paraId="375AE2A2" w14:textId="77777777" w:rsidR="009872F1" w:rsidRPr="009872F1" w:rsidRDefault="009872F1" w:rsidP="009872F1">
          <w:pPr>
            <w:tabs>
              <w:tab w:val="center" w:pos="4680"/>
              <w:tab w:val="right" w:pos="9360"/>
            </w:tabs>
            <w:spacing w:after="0" w:line="240" w:lineRule="auto"/>
            <w:ind w:right="-115"/>
            <w:jc w:val="center"/>
            <w:rPr>
              <w:rFonts w:ascii="Cambria" w:eastAsia="MS Mincho" w:hAnsi="Cambria" w:cs="Times New Roman"/>
              <w:sz w:val="24"/>
              <w:szCs w:val="24"/>
            </w:rPr>
          </w:pPr>
          <w:r w:rsidRPr="009872F1">
            <w:rPr>
              <w:rFonts w:ascii="Cambria" w:eastAsia="MS Mincho" w:hAnsi="Cambria" w:cs="Times New Roman"/>
              <w:noProof/>
              <w:sz w:val="24"/>
              <w:szCs w:val="24"/>
            </w:rPr>
            <w:drawing>
              <wp:inline distT="0" distB="0" distL="0" distR="0" wp14:anchorId="25BF1F50" wp14:editId="30210EE3">
                <wp:extent cx="1887869" cy="41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08843" cy="423756"/>
                        </a:xfrm>
                        <a:prstGeom prst="rect">
                          <a:avLst/>
                        </a:prstGeom>
                        <a:noFill/>
                        <a:ln>
                          <a:noFill/>
                        </a:ln>
                      </pic:spPr>
                    </pic:pic>
                  </a:graphicData>
                </a:graphic>
              </wp:inline>
            </w:drawing>
          </w:r>
        </w:p>
      </w:tc>
    </w:tr>
    <w:bookmarkEnd w:id="0"/>
  </w:tbl>
  <w:p w14:paraId="526D18D2" w14:textId="77777777" w:rsidR="009872F1" w:rsidRDefault="009872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1A7AEA"/>
    <w:multiLevelType w:val="multilevel"/>
    <w:tmpl w:val="805A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2F1"/>
    <w:rsid w:val="00071F4D"/>
    <w:rsid w:val="004659CD"/>
    <w:rsid w:val="00477879"/>
    <w:rsid w:val="00515822"/>
    <w:rsid w:val="00612122"/>
    <w:rsid w:val="009872F1"/>
    <w:rsid w:val="009F7289"/>
    <w:rsid w:val="00A10F11"/>
    <w:rsid w:val="00A37E97"/>
    <w:rsid w:val="00B95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13587"/>
  <w15:chartTrackingRefBased/>
  <w15:docId w15:val="{4883B830-DBC9-48B4-ADCF-B1613A52E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872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2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2F1"/>
  </w:style>
  <w:style w:type="paragraph" w:styleId="Footer">
    <w:name w:val="footer"/>
    <w:basedOn w:val="Normal"/>
    <w:link w:val="FooterChar"/>
    <w:uiPriority w:val="99"/>
    <w:unhideWhenUsed/>
    <w:rsid w:val="009872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2F1"/>
  </w:style>
  <w:style w:type="character" w:customStyle="1" w:styleId="Heading2Char">
    <w:name w:val="Heading 2 Char"/>
    <w:basedOn w:val="DefaultParagraphFont"/>
    <w:link w:val="Heading2"/>
    <w:uiPriority w:val="9"/>
    <w:semiHidden/>
    <w:rsid w:val="009872F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659CD"/>
    <w:rPr>
      <w:color w:val="0563C1" w:themeColor="hyperlink"/>
      <w:u w:val="single"/>
    </w:rPr>
  </w:style>
  <w:style w:type="character" w:styleId="UnresolvedMention">
    <w:name w:val="Unresolved Mention"/>
    <w:basedOn w:val="DefaultParagraphFont"/>
    <w:uiPriority w:val="99"/>
    <w:semiHidden/>
    <w:unhideWhenUsed/>
    <w:rsid w:val="00465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2919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vid19.sanantonio.gov/files/assets/public/fil%20es/other-languages/housing/cosa-nhsd-noticerights-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a-ls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1273</TotalTime>
  <Pages>1</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Gonzalez</dc:creator>
  <cp:keywords/>
  <dc:description/>
  <cp:lastModifiedBy>Ricardo Gonzalez</cp:lastModifiedBy>
  <cp:revision>1</cp:revision>
  <dcterms:created xsi:type="dcterms:W3CDTF">2020-07-28T15:51:00Z</dcterms:created>
  <dcterms:modified xsi:type="dcterms:W3CDTF">2020-07-29T15:24:00Z</dcterms:modified>
</cp:coreProperties>
</file>