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E4CF7" w:rsidRDefault="00CE4CF7">
      <w:pPr>
        <w:pStyle w:val="Formhidden"/>
      </w:pPr>
      <w:r>
        <w:t xml:space="preserve">Form </w:t>
      </w:r>
      <w:r w:rsidR="003B662E">
        <w:t>5</w:t>
      </w:r>
      <w:r>
        <w:t>-11</w:t>
      </w:r>
    </w:p>
    <w:p w:rsidR="00CE4CF7" w:rsidRDefault="00CE4CF7">
      <w:pPr>
        <w:pStyle w:val="DescriptionLasthidden"/>
      </w:pPr>
      <w:r>
        <w:t>The owelty lien created in this form is against the entire property, including the share owned by the grantee before the partition.</w:t>
      </w:r>
    </w:p>
    <w:p w:rsidR="00CE4CF7" w:rsidRDefault="00CE4CF7">
      <w:pPr>
        <w:pStyle w:val="Title"/>
      </w:pPr>
      <w:r>
        <w:t>Owelty of Partition Deed</w:t>
      </w:r>
    </w:p>
    <w:p w:rsidR="00CE4CF7" w:rsidRDefault="00CE4CF7" w:rsidP="00553EA0">
      <w:pPr>
        <w:pStyle w:val="Para"/>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CE4CF7" w:rsidRDefault="00CE4CF7">
      <w:pPr>
        <w:pStyle w:val="ParaFlushLeft"/>
      </w:pPr>
      <w:r>
        <w:t>Date:</w:t>
      </w:r>
    </w:p>
    <w:p w:rsidR="00CE4CF7" w:rsidRDefault="00CE4CF7">
      <w:pPr>
        <w:pStyle w:val="ParaFlushLeft"/>
      </w:pPr>
      <w:r>
        <w:t>Grantor:</w:t>
      </w:r>
    </w:p>
    <w:p w:rsidR="00CE4CF7" w:rsidRDefault="00CE4CF7">
      <w:pPr>
        <w:pStyle w:val="ParaFlushLeft"/>
      </w:pPr>
      <w:r>
        <w:t>Grantor’s Mailing Address:</w:t>
      </w:r>
    </w:p>
    <w:p w:rsidR="00CE4CF7" w:rsidRDefault="00CE4CF7">
      <w:pPr>
        <w:pStyle w:val="ParaFlushLeft"/>
      </w:pPr>
      <w:r>
        <w:t>Grantee:</w:t>
      </w:r>
    </w:p>
    <w:p w:rsidR="00CE4CF7" w:rsidRDefault="00CE4CF7">
      <w:pPr>
        <w:pStyle w:val="ParaFlushLeft"/>
      </w:pPr>
      <w:r>
        <w:t xml:space="preserve">Grantee’s Mailing Address: </w:t>
      </w:r>
    </w:p>
    <w:p w:rsidR="00CE4CF7" w:rsidRDefault="00CE4CF7" w:rsidP="00553EA0">
      <w:pPr>
        <w:pStyle w:val="Para"/>
        <w:ind w:left="720" w:hanging="720"/>
        <w:rPr>
          <w:w w:val="100"/>
        </w:rPr>
      </w:pPr>
      <w:r>
        <w:rPr>
          <w:w w:val="100"/>
        </w:rPr>
        <w:t>Consideration: [Cash and a/A] note of even date executed by Grantee and payable to the order of [</w:t>
      </w:r>
      <w:r>
        <w:rPr>
          <w:rStyle w:val="Substitute"/>
          <w:rFonts w:cs="Arial"/>
          <w:bCs/>
          <w:w w:val="100"/>
          <w:szCs w:val="20"/>
        </w:rPr>
        <w:t>name of third party or grantor</w:t>
      </w:r>
      <w:r>
        <w:rPr>
          <w:w w:val="100"/>
        </w:rPr>
        <w:t>] in the principal amount of [</w:t>
      </w:r>
      <w:r>
        <w:rPr>
          <w:rStyle w:val="Substitute"/>
          <w:rFonts w:cs="Arial"/>
          <w:bCs/>
          <w:w w:val="100"/>
          <w:szCs w:val="20"/>
        </w:rPr>
        <w:t>amount</w:t>
      </w:r>
      <w:r>
        <w:rPr>
          <w:w w:val="100"/>
        </w:rPr>
        <w:t>] DOLLARS ($[</w:t>
      </w:r>
      <w:r>
        <w:rPr>
          <w:rStyle w:val="Substitute"/>
          <w:rFonts w:cs="Arial"/>
          <w:bCs/>
          <w:w w:val="100"/>
          <w:szCs w:val="20"/>
        </w:rPr>
        <w:t>amount</w:t>
      </w:r>
      <w:r>
        <w:rPr>
          <w:w w:val="100"/>
        </w:rPr>
        <w:t>]). The note is secured by a first and superior vendor’s lien, an owelty lien, and superior title retained in this deed in favor of [</w:t>
      </w:r>
      <w:r>
        <w:rPr>
          <w:rStyle w:val="Substitute"/>
          <w:rFonts w:cs="Arial"/>
          <w:bCs/>
          <w:w w:val="100"/>
          <w:szCs w:val="20"/>
        </w:rPr>
        <w:t>name of third party or grantor</w:t>
      </w:r>
      <w:r>
        <w:rPr>
          <w:w w:val="100"/>
        </w:rPr>
        <w:t>] and by a first-lien deed of trust of even date from Grantee to [</w:t>
      </w:r>
      <w:r>
        <w:rPr>
          <w:rStyle w:val="Substitute"/>
          <w:rFonts w:cs="Arial"/>
          <w:bCs/>
          <w:w w:val="100"/>
          <w:szCs w:val="20"/>
        </w:rPr>
        <w:t>name</w:t>
      </w:r>
      <w:r>
        <w:rPr>
          <w:w w:val="100"/>
        </w:rPr>
        <w:t>], trustee.</w:t>
      </w:r>
    </w:p>
    <w:p w:rsidR="00CE4CF7" w:rsidRDefault="00CE4CF7" w:rsidP="00553EA0">
      <w:pPr>
        <w:pStyle w:val="ParaFlushLeft"/>
        <w:ind w:left="720" w:hanging="720"/>
      </w:pPr>
      <w:r>
        <w:t>Property (including any improvements): [</w:t>
      </w:r>
      <w:r>
        <w:rPr>
          <w:rStyle w:val="Substitute"/>
          <w:rFonts w:cs="Arial"/>
          <w:bCs/>
          <w:szCs w:val="20"/>
        </w:rPr>
        <w:t>Describe the entire property being partitioned.</w:t>
      </w:r>
      <w:r>
        <w:t>]</w:t>
      </w:r>
    </w:p>
    <w:p w:rsidR="00CE4CF7" w:rsidRDefault="00CE4CF7" w:rsidP="00553EA0">
      <w:pPr>
        <w:pStyle w:val="Para"/>
        <w:ind w:left="720" w:hanging="720"/>
        <w:rPr>
          <w:w w:val="100"/>
        </w:rPr>
      </w:pPr>
      <w:r>
        <w:rPr>
          <w:w w:val="100"/>
        </w:rPr>
        <w:t>Property Portion Conveyed (including any improvements): [</w:t>
      </w:r>
      <w:r>
        <w:rPr>
          <w:rStyle w:val="Substitute"/>
          <w:rFonts w:cs="Arial"/>
          <w:bCs/>
          <w:w w:val="100"/>
          <w:szCs w:val="20"/>
        </w:rPr>
        <w:t>Describe the property being conveyed by this deed.</w:t>
      </w:r>
      <w:r>
        <w:rPr>
          <w:w w:val="100"/>
        </w:rPr>
        <w:t>]</w:t>
      </w:r>
    </w:p>
    <w:p w:rsidR="00CE4CF7" w:rsidRDefault="00CE4CF7">
      <w:pPr>
        <w:pStyle w:val="ParaFlushLeft"/>
      </w:pPr>
      <w:r>
        <w:t>Reservations from Conveyance:</w:t>
      </w:r>
    </w:p>
    <w:p w:rsidR="00CE4CF7" w:rsidRDefault="00CE4CF7" w:rsidP="00CE4CF7">
      <w:pPr>
        <w:pStyle w:val="UserInstructionjustifyhidden"/>
      </w:pPr>
      <w:r>
        <w:t xml:space="preserve">State “None” or, to create reservations of title, include the appropriate clauses from form </w:t>
      </w:r>
      <w:r w:rsidR="003B662E">
        <w:t>5</w:t>
      </w:r>
      <w:r>
        <w:t>-7 in this chapter.</w:t>
      </w:r>
    </w:p>
    <w:p w:rsidR="00CE4CF7" w:rsidRDefault="00CE4CF7">
      <w:pPr>
        <w:pStyle w:val="ParaFlushLeft"/>
      </w:pPr>
      <w:r>
        <w:t>Exceptions to Conveyance and Warranty:</w:t>
      </w:r>
    </w:p>
    <w:p w:rsidR="00CE4CF7" w:rsidRDefault="00CE4CF7" w:rsidP="00CE4CF7">
      <w:pPr>
        <w:pStyle w:val="UserInstructionjustifyhidden"/>
      </w:pPr>
      <w:r>
        <w:t xml:space="preserve">State “None” or, to create exceptions to conveyance and warranty, include the appropriate clauses from form </w:t>
      </w:r>
      <w:r w:rsidR="003B662E">
        <w:t>5</w:t>
      </w:r>
      <w:r>
        <w:t>-8.</w:t>
      </w:r>
    </w:p>
    <w:p w:rsidR="00CE4CF7" w:rsidRDefault="00CE4CF7">
      <w:pPr>
        <w:pStyle w:val="Para"/>
        <w:rPr>
          <w:w w:val="100"/>
        </w:rPr>
      </w:pPr>
      <w:r>
        <w:rPr>
          <w:w w:val="100"/>
        </w:rPr>
        <w:t xml:space="preserve">Grantor, for the Consideration and subject to the Reservations from Conveyance and the </w:t>
      </w:r>
      <w:r>
        <w:rPr>
          <w:w w:val="100"/>
        </w:rPr>
        <w:lastRenderedPageBreak/>
        <w:t>Exceptions to Conveyance and Warranty, grants, sells, and conveys to Grantee the Property, together with all and singular the rights and appurtenances thereto in any way belonging, to have and to hold it to Grantee and Grantee’s heirs, successors, and assigns forever. Grantor binds Grantor and Grantor’s heirs and successors to warrant and forever defend all and singular the Property to Grantee and Grantee’s heirs, successors, and assigns against every person whomsoever lawfully claiming or to claim the same or any part thereof, except as to the Reservations from Conveyance and the Exceptions to Conveyance and Warranty.</w:t>
      </w:r>
    </w:p>
    <w:p w:rsidR="00F20CD3" w:rsidRDefault="00CE4CF7" w:rsidP="00F20CD3">
      <w:pPr>
        <w:pStyle w:val="Para"/>
        <w:rPr>
          <w:w w:val="100"/>
        </w:rPr>
      </w:pPr>
      <w:r>
        <w:rPr>
          <w:w w:val="100"/>
        </w:rPr>
        <w:t>The vendor’s lien and owelty lien against, and superior title to, the Property are retained until the note described is fully paid according to its terms, at which time this deed becomes absolute.</w:t>
      </w:r>
      <w:r w:rsidR="00F20CD3" w:rsidRPr="00F20CD3">
        <w:rPr>
          <w:w w:val="100"/>
        </w:rPr>
        <w:t xml:space="preserve"> </w:t>
      </w:r>
    </w:p>
    <w:p w:rsidR="00F20CD3" w:rsidRDefault="00F20CD3" w:rsidP="00F20CD3">
      <w:pPr>
        <w:pStyle w:val="UserInstructioncenterhidden"/>
      </w:pPr>
      <w:r>
        <w:t>Include the following if applicable.</w:t>
      </w:r>
    </w:p>
    <w:p w:rsidR="00CE4CF7" w:rsidRDefault="00CE4CF7">
      <w:pPr>
        <w:pStyle w:val="Para"/>
        <w:rPr>
          <w:w w:val="100"/>
        </w:rPr>
      </w:pPr>
      <w:r>
        <w:rPr>
          <w:w w:val="100"/>
        </w:rPr>
        <w:t>[</w:t>
      </w:r>
      <w:r>
        <w:rPr>
          <w:rStyle w:val="Substitute"/>
          <w:rFonts w:cs="Arial"/>
          <w:bCs/>
          <w:w w:val="100"/>
          <w:szCs w:val="20"/>
        </w:rPr>
        <w:t>Name of third party</w:t>
      </w:r>
      <w:r>
        <w:rPr>
          <w:w w:val="100"/>
        </w:rPr>
        <w:t>], at Grantee’s request, has paid in cash to Grantor that portion of the purchase price of the Property Portion Conveyed that is evidenced by the note described. The vendor’s lien, owelty lien, and superior title to the Property are retained for the benefit of, and are transferred to, [</w:t>
      </w:r>
      <w:r>
        <w:rPr>
          <w:rStyle w:val="Substitute"/>
          <w:rFonts w:cs="Arial"/>
          <w:bCs/>
          <w:w w:val="100"/>
          <w:szCs w:val="20"/>
        </w:rPr>
        <w:t>name of third party</w:t>
      </w:r>
      <w:r>
        <w:rPr>
          <w:w w:val="100"/>
        </w:rPr>
        <w:t>] without recourse on Grantor.</w:t>
      </w:r>
    </w:p>
    <w:p w:rsidR="00CE4CF7" w:rsidRDefault="00CE4CF7" w:rsidP="00CE4CF7">
      <w:pPr>
        <w:pStyle w:val="UserInstructioncenterhidden"/>
      </w:pPr>
      <w:r>
        <w:t>Continue with the following.</w:t>
      </w:r>
    </w:p>
    <w:p w:rsidR="00CE4CF7" w:rsidRDefault="00CE4CF7">
      <w:pPr>
        <w:pStyle w:val="Heading"/>
        <w:jc w:val="center"/>
        <w:rPr>
          <w:w w:val="100"/>
        </w:rPr>
      </w:pPr>
      <w:r>
        <w:rPr>
          <w:w w:val="100"/>
        </w:rPr>
        <w:t>Owelty Recitals</w:t>
      </w:r>
    </w:p>
    <w:p w:rsidR="00CE4CF7" w:rsidRDefault="00CE4CF7" w:rsidP="00CE4CF7">
      <w:pPr>
        <w:pStyle w:val="UserInstructionjustifyhidden"/>
      </w:pPr>
      <w:r>
        <w:t>For transactions as a consequence of divorce, choose the first alternative paragraph below. For transactions based on a separate agreement between the parties, choose the second alternative paragraph.</w:t>
      </w:r>
    </w:p>
    <w:p w:rsidR="00CE4CF7" w:rsidRDefault="00CE4CF7">
      <w:pPr>
        <w:pStyle w:val="Para"/>
        <w:rPr>
          <w:w w:val="100"/>
        </w:rPr>
      </w:pPr>
      <w:r>
        <w:rPr>
          <w:rStyle w:val="Italic"/>
          <w:iCs/>
          <w:w w:val="100"/>
        </w:rPr>
        <w:t>First</w:t>
      </w:r>
      <w:r>
        <w:rPr>
          <w:w w:val="100"/>
        </w:rPr>
        <w:t>.</w:t>
      </w:r>
      <w:r>
        <w:rPr>
          <w:w w:val="100"/>
        </w:rPr>
        <w:t> </w:t>
      </w:r>
      <w:r>
        <w:rPr>
          <w:w w:val="100"/>
        </w:rPr>
        <w:t>A divorce was granted terminating the marriage between Grantor and Grantee by divorce decree dated [</w:t>
      </w:r>
      <w:r>
        <w:rPr>
          <w:rStyle w:val="Substitute"/>
          <w:rFonts w:cs="Arial"/>
          <w:bCs/>
          <w:w w:val="100"/>
          <w:szCs w:val="20"/>
        </w:rPr>
        <w:t>date</w:t>
      </w:r>
      <w:r>
        <w:rPr>
          <w:w w:val="100"/>
        </w:rPr>
        <w:t>], rendered in Cause No. [</w:t>
      </w:r>
      <w:r>
        <w:rPr>
          <w:rStyle w:val="Substitute"/>
          <w:rFonts w:cs="Arial"/>
          <w:bCs/>
          <w:w w:val="100"/>
          <w:szCs w:val="20"/>
        </w:rPr>
        <w:t>number</w:t>
      </w:r>
      <w:r>
        <w:rPr>
          <w:w w:val="100"/>
        </w:rPr>
        <w:t>] in the [</w:t>
      </w:r>
      <w:r>
        <w:rPr>
          <w:rStyle w:val="Substitute"/>
          <w:rFonts w:cs="Arial"/>
          <w:bCs/>
          <w:w w:val="100"/>
          <w:szCs w:val="20"/>
        </w:rPr>
        <w:t>designation</w:t>
      </w:r>
      <w:r>
        <w:rPr>
          <w:w w:val="100"/>
        </w:rPr>
        <w:t>] Court of [</w:t>
      </w:r>
      <w:r>
        <w:rPr>
          <w:rStyle w:val="Substitute"/>
          <w:rFonts w:cs="Arial"/>
          <w:bCs/>
          <w:w w:val="100"/>
          <w:szCs w:val="20"/>
        </w:rPr>
        <w:t>county</w:t>
      </w:r>
      <w:r>
        <w:rPr>
          <w:w w:val="100"/>
        </w:rPr>
        <w:t>] County, Texas. An order partitioning the Property was entered [</w:t>
      </w:r>
      <w:r>
        <w:rPr>
          <w:rStyle w:val="Substitute"/>
          <w:rFonts w:cs="Arial"/>
          <w:bCs/>
          <w:w w:val="100"/>
          <w:szCs w:val="20"/>
        </w:rPr>
        <w:t>date</w:t>
      </w:r>
      <w:r>
        <w:rPr>
          <w:w w:val="100"/>
        </w:rPr>
        <w:t>] in the same cause and Court.</w:t>
      </w:r>
    </w:p>
    <w:p w:rsidR="00CE4CF7" w:rsidRDefault="00CE4CF7" w:rsidP="00CE4CF7">
      <w:pPr>
        <w:pStyle w:val="UserInstructioncenterhidden"/>
      </w:pPr>
      <w:r>
        <w:t>Or</w:t>
      </w:r>
    </w:p>
    <w:p w:rsidR="00CE4CF7" w:rsidRDefault="00CE4CF7">
      <w:pPr>
        <w:pStyle w:val="Para"/>
        <w:rPr>
          <w:w w:val="100"/>
        </w:rPr>
      </w:pPr>
      <w:r>
        <w:rPr>
          <w:rStyle w:val="Italic"/>
          <w:iCs/>
          <w:w w:val="100"/>
        </w:rPr>
        <w:t>First</w:t>
      </w:r>
      <w:r>
        <w:rPr>
          <w:w w:val="100"/>
        </w:rPr>
        <w:t>.</w:t>
      </w:r>
      <w:r>
        <w:rPr>
          <w:w w:val="100"/>
        </w:rPr>
        <w:t> </w:t>
      </w:r>
      <w:r>
        <w:rPr>
          <w:w w:val="100"/>
        </w:rPr>
        <w:t>Grantor and Grantee have agreed to the transfer of ownership and owelty of partition effected by this deed by separate Owelty of Partition Agreement dated [</w:t>
      </w:r>
      <w:r>
        <w:rPr>
          <w:rStyle w:val="Substitute"/>
          <w:rFonts w:cs="Arial"/>
          <w:bCs/>
          <w:w w:val="100"/>
          <w:szCs w:val="20"/>
        </w:rPr>
        <w:t>date</w:t>
      </w:r>
      <w:r>
        <w:rPr>
          <w:w w:val="100"/>
        </w:rPr>
        <w:t>], between Grantor and Grantee, as cotenants of the Property.</w:t>
      </w:r>
    </w:p>
    <w:p w:rsidR="00CE4CF7" w:rsidRDefault="00CE4CF7" w:rsidP="00CE4CF7">
      <w:pPr>
        <w:pStyle w:val="UserInstructioncenterhidden"/>
      </w:pPr>
      <w:r>
        <w:t>Continue with the following.</w:t>
      </w:r>
    </w:p>
    <w:p w:rsidR="00CE4CF7" w:rsidRDefault="00CE4CF7">
      <w:pPr>
        <w:pStyle w:val="Para"/>
        <w:rPr>
          <w:w w:val="100"/>
        </w:rPr>
      </w:pPr>
      <w:r>
        <w:rPr>
          <w:rStyle w:val="Italic"/>
          <w:iCs/>
          <w:w w:val="100"/>
        </w:rPr>
        <w:t>Second</w:t>
      </w:r>
      <w:r>
        <w:rPr>
          <w:w w:val="100"/>
        </w:rPr>
        <w:t>.</w:t>
      </w:r>
      <w:r>
        <w:rPr>
          <w:w w:val="100"/>
        </w:rPr>
        <w:t> </w:t>
      </w:r>
      <w:r>
        <w:rPr>
          <w:w w:val="100"/>
        </w:rPr>
        <w:t>Grantor and Grantee, owning the Property as tenants in common, desire to effect a partition of the Property in order that Grantee own 100 percent of the Property in fee simple. [</w:t>
      </w:r>
      <w:r>
        <w:rPr>
          <w:rStyle w:val="Substitute"/>
          <w:rFonts w:cs="Arial"/>
          <w:bCs/>
          <w:w w:val="100"/>
          <w:szCs w:val="20"/>
        </w:rPr>
        <w:t xml:space="preserve">Include if applicable: </w:t>
      </w:r>
      <w:r>
        <w:rPr>
          <w:w w:val="100"/>
        </w:rPr>
        <w:t>Grantee has arranged to borrow the amount of $[</w:t>
      </w:r>
      <w:r>
        <w:rPr>
          <w:rStyle w:val="Substitute"/>
          <w:rFonts w:cs="Arial"/>
          <w:bCs/>
          <w:w w:val="100"/>
          <w:szCs w:val="20"/>
        </w:rPr>
        <w:t>amount</w:t>
      </w:r>
      <w:r>
        <w:rPr>
          <w:w w:val="100"/>
        </w:rPr>
        <w:t>] from [</w:t>
      </w:r>
      <w:r>
        <w:rPr>
          <w:rStyle w:val="Substitute"/>
          <w:rFonts w:cs="Arial"/>
          <w:bCs/>
          <w:w w:val="100"/>
          <w:szCs w:val="20"/>
        </w:rPr>
        <w:t>name of lender</w:t>
      </w:r>
      <w:r>
        <w:rPr>
          <w:w w:val="100"/>
        </w:rPr>
        <w:t>] (“Lender”), in order to acquire the Property Portion Conveyed in fee simple. Lender is willing to advance that amount provided that the indebtedness is secured by a first and superior vendor’s lien, owelty lien, superior title, and a deed-of-trust lien, all on the full fee simple title in and to 100 percent of the Property.]</w:t>
      </w:r>
    </w:p>
    <w:p w:rsidR="00CE4CF7" w:rsidRDefault="00CE4CF7">
      <w:pPr>
        <w:pStyle w:val="Para"/>
        <w:rPr>
          <w:w w:val="100"/>
        </w:rPr>
      </w:pPr>
      <w:r>
        <w:rPr>
          <w:rStyle w:val="Italic"/>
          <w:iCs/>
          <w:w w:val="100"/>
        </w:rPr>
        <w:t>Third</w:t>
      </w:r>
      <w:r>
        <w:rPr>
          <w:w w:val="100"/>
        </w:rPr>
        <w:t>.</w:t>
      </w:r>
      <w:r>
        <w:rPr>
          <w:w w:val="100"/>
        </w:rPr>
        <w:t> </w:t>
      </w:r>
      <w:r>
        <w:rPr>
          <w:w w:val="100"/>
        </w:rPr>
        <w:t>The Property is not susceptible to partition in kind and, for Grantee to acquire the full fee simple title in and to the Property Portion Conveyed, it is necessary to fix a lien on the entirety of the Property in the amount of $[</w:t>
      </w:r>
      <w:r>
        <w:rPr>
          <w:rStyle w:val="Substitute"/>
          <w:rFonts w:cs="Arial"/>
          <w:bCs/>
          <w:w w:val="100"/>
          <w:szCs w:val="20"/>
        </w:rPr>
        <w:t>amount</w:t>
      </w:r>
      <w:r>
        <w:rPr>
          <w:w w:val="100"/>
        </w:rPr>
        <w:t>]. The lien represents an owelty of partition and the necessary adjustment between the parties to carry out the purposes of the partition. Grantee acknowledges that the vendor’s lien, owelty lien or owelty of partition, and superior title are superior to Grantee’s rights to use and occupy the Property as Grantee’s homestead or otherwise as fully and completely as if the liens or owelty of partition were fixed and judicially decreed in a partition suit between Grantor and Grantee.</w:t>
      </w:r>
    </w:p>
    <w:p w:rsidR="00CE4CF7" w:rsidRDefault="00CE4CF7">
      <w:pPr>
        <w:pStyle w:val="Para"/>
        <w:rPr>
          <w:w w:val="100"/>
        </w:rPr>
      </w:pPr>
      <w:r>
        <w:rPr>
          <w:w w:val="100"/>
        </w:rPr>
        <w:t>Grantee joins in the execution of this deed and binds Grantee’s heirs, successors, and assigns in acceptance of the delivery of the deed. Grantee stipulates to [Grantor and Grantor’s/Lender and Grantor and each of their respective] heirs, successors, and assigns the following: (1) the truth and correctness of the Recitals and the validity of the vendor’s lien, owelty lien, superior title, and deed-of-trust lien securing the payment of the indebtedness, on the entirety of the full fee simple title to the Property; (2) the vendor’s lien, owelty lien, superior title, and deed-of-trust lien are prior and superior to any right of use, occupancy, and homestead that Grantee may have or claim in and to the Property; [and] (3) the whole fee simple title to the Property is vested in Grantee under this deed [</w:t>
      </w:r>
      <w:r>
        <w:rPr>
          <w:rStyle w:val="Substitute"/>
          <w:rFonts w:cs="Arial"/>
          <w:bCs/>
          <w:w w:val="100"/>
          <w:szCs w:val="20"/>
        </w:rPr>
        <w:t xml:space="preserve">include if applicable: </w:t>
      </w:r>
      <w:r>
        <w:rPr>
          <w:w w:val="100"/>
        </w:rPr>
        <w:t>; and (4) Lender has advanced funds to Grantee in reliance on the stipulations and representations made and the facts stated in this deed].</w:t>
      </w:r>
    </w:p>
    <w:p w:rsidR="00CE4CF7" w:rsidRDefault="00CE4CF7" w:rsidP="00553EA0">
      <w:pPr>
        <w:pStyle w:val="SignBlock"/>
      </w:pPr>
      <w:r>
        <w:tab/>
      </w:r>
    </w:p>
    <w:p w:rsidR="00CE4CF7" w:rsidRDefault="00CE4CF7">
      <w:pPr>
        <w:pStyle w:val="SignItemLast"/>
      </w:pPr>
      <w:r>
        <w:t>[</w:t>
      </w:r>
      <w:r>
        <w:rPr>
          <w:rStyle w:val="Substitute"/>
          <w:rFonts w:cs="Arial"/>
          <w:bCs/>
          <w:szCs w:val="20"/>
        </w:rPr>
        <w:t>Name of grantor</w:t>
      </w:r>
      <w:r>
        <w:t>]</w:t>
      </w:r>
    </w:p>
    <w:p w:rsidR="00CE4CF7" w:rsidRDefault="00CE4CF7" w:rsidP="00553EA0">
      <w:pPr>
        <w:pStyle w:val="SignBlock"/>
      </w:pPr>
      <w:r>
        <w:tab/>
      </w:r>
    </w:p>
    <w:p w:rsidR="00CE4CF7" w:rsidRDefault="00CE4CF7">
      <w:pPr>
        <w:pStyle w:val="SignItemLast"/>
      </w:pPr>
      <w:r>
        <w:t>[</w:t>
      </w:r>
      <w:r>
        <w:rPr>
          <w:rStyle w:val="Substitute"/>
          <w:rFonts w:cs="Arial"/>
          <w:bCs/>
          <w:szCs w:val="20"/>
        </w:rPr>
        <w:t>Name of grantee</w:t>
      </w:r>
      <w:r>
        <w:t>]</w:t>
      </w:r>
    </w:p>
    <w:p w:rsidR="00CE4CF7" w:rsidRDefault="00CE4CF7" w:rsidP="00CE4CF7">
      <w:pPr>
        <w:pStyle w:val="UserInstructioncenterhidden"/>
      </w:pPr>
      <w:r>
        <w:t>Include acknowledgments.</w:t>
      </w:r>
    </w:p>
    <w:p w:rsidR="002C211D" w:rsidRDefault="002C211D" w:rsidP="00937698"/>
    <w:sectPr w:rsidR="002C211D" w:rsidSect="00CE4CF7">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660A" w:rsidRDefault="0053660A">
      <w:r>
        <w:separator/>
      </w:r>
    </w:p>
  </w:endnote>
  <w:endnote w:type="continuationSeparator" w:id="0">
    <w:p w:rsidR="0053660A" w:rsidRDefault="00536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660A" w:rsidRDefault="0053660A">
      <w:r>
        <w:separator/>
      </w:r>
    </w:p>
  </w:footnote>
  <w:footnote w:type="continuationSeparator" w:id="0">
    <w:p w:rsidR="0053660A" w:rsidRDefault="00536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63115890">
    <w:abstractNumId w:val="8"/>
  </w:num>
  <w:num w:numId="2" w16cid:durableId="1420834996">
    <w:abstractNumId w:val="8"/>
  </w:num>
  <w:num w:numId="3" w16cid:durableId="1016880978">
    <w:abstractNumId w:val="3"/>
  </w:num>
  <w:num w:numId="4" w16cid:durableId="848711402">
    <w:abstractNumId w:val="3"/>
  </w:num>
  <w:num w:numId="5" w16cid:durableId="1305626698">
    <w:abstractNumId w:val="9"/>
  </w:num>
  <w:num w:numId="6" w16cid:durableId="534387287">
    <w:abstractNumId w:val="9"/>
  </w:num>
  <w:num w:numId="7" w16cid:durableId="1410616112">
    <w:abstractNumId w:val="7"/>
  </w:num>
  <w:num w:numId="8" w16cid:durableId="30228340">
    <w:abstractNumId w:val="7"/>
  </w:num>
  <w:num w:numId="9" w16cid:durableId="691346742">
    <w:abstractNumId w:val="12"/>
  </w:num>
  <w:num w:numId="10" w16cid:durableId="1696730480">
    <w:abstractNumId w:val="14"/>
  </w:num>
  <w:num w:numId="11" w16cid:durableId="1885412322">
    <w:abstractNumId w:val="8"/>
  </w:num>
  <w:num w:numId="12" w16cid:durableId="479805848">
    <w:abstractNumId w:val="3"/>
  </w:num>
  <w:num w:numId="13" w16cid:durableId="1605336381">
    <w:abstractNumId w:val="9"/>
  </w:num>
  <w:num w:numId="14" w16cid:durableId="699546729">
    <w:abstractNumId w:val="7"/>
  </w:num>
  <w:num w:numId="15" w16cid:durableId="253981146">
    <w:abstractNumId w:val="6"/>
  </w:num>
  <w:num w:numId="16" w16cid:durableId="1673292431">
    <w:abstractNumId w:val="5"/>
  </w:num>
  <w:num w:numId="17" w16cid:durableId="1170488837">
    <w:abstractNumId w:val="4"/>
  </w:num>
  <w:num w:numId="18" w16cid:durableId="1998219077">
    <w:abstractNumId w:val="2"/>
  </w:num>
  <w:num w:numId="19" w16cid:durableId="1673602933">
    <w:abstractNumId w:val="1"/>
  </w:num>
  <w:num w:numId="20" w16cid:durableId="1504853027">
    <w:abstractNumId w:val="0"/>
  </w:num>
  <w:num w:numId="21" w16cid:durableId="841043091">
    <w:abstractNumId w:val="10"/>
  </w:num>
  <w:num w:numId="22" w16cid:durableId="159741485">
    <w:abstractNumId w:val="11"/>
  </w:num>
  <w:num w:numId="23" w16cid:durableId="13283589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5-11.docx"/>
    <w:docVar w:name="TBBStampDate" w:val="07-22-2025"/>
    <w:docVar w:name="TBBVer" w:val="docx"/>
    <w:docVar w:name="TBBYear" w:val="2025"/>
  </w:docVars>
  <w:rsids>
    <w:rsidRoot w:val="00553EA0"/>
    <w:rsid w:val="00006704"/>
    <w:rsid w:val="00020788"/>
    <w:rsid w:val="00035105"/>
    <w:rsid w:val="00055419"/>
    <w:rsid w:val="00057F83"/>
    <w:rsid w:val="0007499B"/>
    <w:rsid w:val="00075517"/>
    <w:rsid w:val="000A5288"/>
    <w:rsid w:val="000A6DC7"/>
    <w:rsid w:val="000B0F31"/>
    <w:rsid w:val="000B23ED"/>
    <w:rsid w:val="000B259E"/>
    <w:rsid w:val="000D0833"/>
    <w:rsid w:val="000D5936"/>
    <w:rsid w:val="000E5DC6"/>
    <w:rsid w:val="00103258"/>
    <w:rsid w:val="00124EC7"/>
    <w:rsid w:val="001357DF"/>
    <w:rsid w:val="00167635"/>
    <w:rsid w:val="001B08D4"/>
    <w:rsid w:val="001B4977"/>
    <w:rsid w:val="001C7034"/>
    <w:rsid w:val="001D113B"/>
    <w:rsid w:val="00212AD4"/>
    <w:rsid w:val="00220537"/>
    <w:rsid w:val="00221D27"/>
    <w:rsid w:val="00252565"/>
    <w:rsid w:val="002733D1"/>
    <w:rsid w:val="002C1959"/>
    <w:rsid w:val="002C211D"/>
    <w:rsid w:val="002C3E97"/>
    <w:rsid w:val="002C456D"/>
    <w:rsid w:val="002C6158"/>
    <w:rsid w:val="002C7C61"/>
    <w:rsid w:val="002D4648"/>
    <w:rsid w:val="002D4815"/>
    <w:rsid w:val="002F1892"/>
    <w:rsid w:val="002F4B1D"/>
    <w:rsid w:val="00300E00"/>
    <w:rsid w:val="003119E6"/>
    <w:rsid w:val="00320622"/>
    <w:rsid w:val="00342B45"/>
    <w:rsid w:val="00344A10"/>
    <w:rsid w:val="0036102C"/>
    <w:rsid w:val="00382C39"/>
    <w:rsid w:val="00385003"/>
    <w:rsid w:val="003864FA"/>
    <w:rsid w:val="00386B7C"/>
    <w:rsid w:val="0039278E"/>
    <w:rsid w:val="00397006"/>
    <w:rsid w:val="00397661"/>
    <w:rsid w:val="003B662E"/>
    <w:rsid w:val="003C0B1C"/>
    <w:rsid w:val="003D7347"/>
    <w:rsid w:val="003E1B11"/>
    <w:rsid w:val="00417CAA"/>
    <w:rsid w:val="004217A3"/>
    <w:rsid w:val="004532B3"/>
    <w:rsid w:val="004660EE"/>
    <w:rsid w:val="0046632A"/>
    <w:rsid w:val="00490615"/>
    <w:rsid w:val="004A1988"/>
    <w:rsid w:val="004C45FF"/>
    <w:rsid w:val="004C7340"/>
    <w:rsid w:val="004D7E2D"/>
    <w:rsid w:val="004E343B"/>
    <w:rsid w:val="004F6E30"/>
    <w:rsid w:val="00500DFB"/>
    <w:rsid w:val="005038A4"/>
    <w:rsid w:val="00507929"/>
    <w:rsid w:val="005140F1"/>
    <w:rsid w:val="0051760F"/>
    <w:rsid w:val="0053660A"/>
    <w:rsid w:val="0054029D"/>
    <w:rsid w:val="0054258A"/>
    <w:rsid w:val="00551332"/>
    <w:rsid w:val="00553EA0"/>
    <w:rsid w:val="00562AB8"/>
    <w:rsid w:val="0056511D"/>
    <w:rsid w:val="00570333"/>
    <w:rsid w:val="00574113"/>
    <w:rsid w:val="00582F0A"/>
    <w:rsid w:val="005906DA"/>
    <w:rsid w:val="0059104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24B20"/>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6032C"/>
    <w:rsid w:val="00877F53"/>
    <w:rsid w:val="008B3F1F"/>
    <w:rsid w:val="008D105F"/>
    <w:rsid w:val="008D3F7D"/>
    <w:rsid w:val="008D602D"/>
    <w:rsid w:val="008F41A5"/>
    <w:rsid w:val="00903348"/>
    <w:rsid w:val="0091647B"/>
    <w:rsid w:val="00937698"/>
    <w:rsid w:val="009518AF"/>
    <w:rsid w:val="00965A52"/>
    <w:rsid w:val="00986BE4"/>
    <w:rsid w:val="009A2FE8"/>
    <w:rsid w:val="009A75C0"/>
    <w:rsid w:val="009A7C45"/>
    <w:rsid w:val="009C6567"/>
    <w:rsid w:val="009D367E"/>
    <w:rsid w:val="009F1B69"/>
    <w:rsid w:val="00A026BD"/>
    <w:rsid w:val="00A03625"/>
    <w:rsid w:val="00A0583D"/>
    <w:rsid w:val="00A156B5"/>
    <w:rsid w:val="00AA2962"/>
    <w:rsid w:val="00AA74A2"/>
    <w:rsid w:val="00AB3BCD"/>
    <w:rsid w:val="00AE05F0"/>
    <w:rsid w:val="00AE61F5"/>
    <w:rsid w:val="00B12519"/>
    <w:rsid w:val="00B157A8"/>
    <w:rsid w:val="00B15C0D"/>
    <w:rsid w:val="00B17021"/>
    <w:rsid w:val="00B24805"/>
    <w:rsid w:val="00B53927"/>
    <w:rsid w:val="00BA13C4"/>
    <w:rsid w:val="00BE2E17"/>
    <w:rsid w:val="00C04F3D"/>
    <w:rsid w:val="00C1069F"/>
    <w:rsid w:val="00C16AEA"/>
    <w:rsid w:val="00C213FD"/>
    <w:rsid w:val="00C31867"/>
    <w:rsid w:val="00C445FE"/>
    <w:rsid w:val="00C53FF7"/>
    <w:rsid w:val="00CA5BD5"/>
    <w:rsid w:val="00CB155D"/>
    <w:rsid w:val="00CC5C2E"/>
    <w:rsid w:val="00CD150A"/>
    <w:rsid w:val="00CD2379"/>
    <w:rsid w:val="00CE4CF7"/>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37DA8"/>
    <w:rsid w:val="00E7012A"/>
    <w:rsid w:val="00E8508F"/>
    <w:rsid w:val="00E90259"/>
    <w:rsid w:val="00E95688"/>
    <w:rsid w:val="00EF0713"/>
    <w:rsid w:val="00EF3BC1"/>
    <w:rsid w:val="00F1261B"/>
    <w:rsid w:val="00F20CD3"/>
    <w:rsid w:val="00F22B3D"/>
    <w:rsid w:val="00F6777D"/>
    <w:rsid w:val="00F72310"/>
    <w:rsid w:val="00F75F04"/>
    <w:rsid w:val="00F94ACB"/>
    <w:rsid w:val="00FD58F3"/>
    <w:rsid w:val="00FD5B0C"/>
    <w:rsid w:val="00FF0DBE"/>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7FBF70-DC14-42FD-82AE-77BDD79DF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CE4CF7"/>
    <w:rPr>
      <w:sz w:val="24"/>
      <w:szCs w:val="24"/>
    </w:rPr>
  </w:style>
  <w:style w:type="paragraph" w:styleId="Heading1">
    <w:name w:val="heading 1"/>
    <w:basedOn w:val="Normal"/>
    <w:next w:val="Normal"/>
    <w:uiPriority w:val="1"/>
    <w:qFormat/>
    <w:rsid w:val="00CE4CF7"/>
    <w:pPr>
      <w:keepNext/>
      <w:spacing w:before="240" w:after="60"/>
      <w:outlineLvl w:val="0"/>
    </w:pPr>
    <w:rPr>
      <w:b/>
      <w:bCs/>
      <w:kern w:val="32"/>
      <w:szCs w:val="32"/>
    </w:rPr>
  </w:style>
  <w:style w:type="paragraph" w:styleId="Heading2">
    <w:name w:val="heading 2"/>
    <w:basedOn w:val="Normal"/>
    <w:next w:val="Normal"/>
    <w:uiPriority w:val="1"/>
    <w:qFormat/>
    <w:rsid w:val="00CE4CF7"/>
    <w:pPr>
      <w:keepNext/>
      <w:spacing w:before="240" w:after="60"/>
      <w:outlineLvl w:val="1"/>
    </w:pPr>
    <w:rPr>
      <w:b/>
      <w:bCs/>
      <w:iCs/>
      <w:szCs w:val="28"/>
    </w:rPr>
  </w:style>
  <w:style w:type="paragraph" w:styleId="Heading3">
    <w:name w:val="heading 3"/>
    <w:basedOn w:val="Normal"/>
    <w:next w:val="Normal"/>
    <w:uiPriority w:val="1"/>
    <w:qFormat/>
    <w:rsid w:val="00CE4CF7"/>
    <w:pPr>
      <w:spacing w:before="240" w:after="60"/>
      <w:outlineLvl w:val="2"/>
    </w:pPr>
    <w:rPr>
      <w:b/>
      <w:bCs/>
      <w:szCs w:val="26"/>
    </w:rPr>
  </w:style>
  <w:style w:type="paragraph" w:styleId="Heading4">
    <w:name w:val="heading 4"/>
    <w:basedOn w:val="Normal"/>
    <w:next w:val="Normal"/>
    <w:uiPriority w:val="1"/>
    <w:qFormat/>
    <w:rsid w:val="00CE4CF7"/>
    <w:pPr>
      <w:spacing w:before="240" w:after="60"/>
      <w:outlineLvl w:val="3"/>
    </w:pPr>
    <w:rPr>
      <w:b/>
      <w:bCs/>
      <w:szCs w:val="28"/>
    </w:rPr>
  </w:style>
  <w:style w:type="paragraph" w:styleId="Heading5">
    <w:name w:val="heading 5"/>
    <w:basedOn w:val="Normal"/>
    <w:next w:val="Normal"/>
    <w:uiPriority w:val="1"/>
    <w:qFormat/>
    <w:rsid w:val="00CE4CF7"/>
    <w:pPr>
      <w:spacing w:before="240" w:after="60"/>
      <w:outlineLvl w:val="4"/>
    </w:pPr>
    <w:rPr>
      <w:b/>
      <w:bCs/>
      <w:iCs/>
      <w:szCs w:val="26"/>
    </w:rPr>
  </w:style>
  <w:style w:type="paragraph" w:styleId="Heading6">
    <w:name w:val="heading 6"/>
    <w:basedOn w:val="Normal"/>
    <w:next w:val="Normal"/>
    <w:uiPriority w:val="1"/>
    <w:qFormat/>
    <w:rsid w:val="00CE4CF7"/>
    <w:pPr>
      <w:spacing w:before="240" w:after="60"/>
      <w:outlineLvl w:val="5"/>
    </w:pPr>
    <w:rPr>
      <w:b/>
      <w:bCs/>
      <w:szCs w:val="22"/>
    </w:rPr>
  </w:style>
  <w:style w:type="paragraph" w:styleId="Heading7">
    <w:name w:val="heading 7"/>
    <w:basedOn w:val="Normal"/>
    <w:next w:val="Normal"/>
    <w:uiPriority w:val="1"/>
    <w:qFormat/>
    <w:rsid w:val="00CE4CF7"/>
    <w:pPr>
      <w:spacing w:before="240" w:after="60"/>
      <w:outlineLvl w:val="6"/>
    </w:pPr>
    <w:rPr>
      <w:b/>
    </w:rPr>
  </w:style>
  <w:style w:type="paragraph" w:styleId="Heading8">
    <w:name w:val="heading 8"/>
    <w:basedOn w:val="Normal"/>
    <w:next w:val="Normal"/>
    <w:uiPriority w:val="1"/>
    <w:qFormat/>
    <w:rsid w:val="00CE4CF7"/>
    <w:pPr>
      <w:spacing w:before="240" w:after="60"/>
      <w:outlineLvl w:val="7"/>
    </w:pPr>
    <w:rPr>
      <w:b/>
      <w:iCs/>
    </w:rPr>
  </w:style>
  <w:style w:type="paragraph" w:styleId="Heading9">
    <w:name w:val="heading 9"/>
    <w:basedOn w:val="Normal"/>
    <w:next w:val="Normal"/>
    <w:uiPriority w:val="2"/>
    <w:qFormat/>
    <w:rsid w:val="00CE4CF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CE4CF7"/>
    <w:pPr>
      <w:spacing w:after="240"/>
    </w:pPr>
    <w:rPr>
      <w:szCs w:val="20"/>
    </w:rPr>
  </w:style>
  <w:style w:type="paragraph" w:styleId="Quote">
    <w:name w:val="Quote"/>
    <w:basedOn w:val="BodyText"/>
    <w:uiPriority w:val="2"/>
    <w:qFormat/>
    <w:rsid w:val="00CE4CF7"/>
    <w:pPr>
      <w:ind w:left="1440" w:right="1440"/>
    </w:pPr>
  </w:style>
  <w:style w:type="paragraph" w:customStyle="1" w:styleId="BodyTextContinued">
    <w:name w:val="Body Text Continued"/>
    <w:basedOn w:val="BodyText"/>
    <w:next w:val="BodyText"/>
    <w:rsid w:val="00CE4CF7"/>
  </w:style>
  <w:style w:type="paragraph" w:styleId="TOC1">
    <w:name w:val="toc 1"/>
    <w:basedOn w:val="Normal"/>
    <w:next w:val="Normal"/>
    <w:autoRedefine/>
    <w:uiPriority w:val="2"/>
    <w:rsid w:val="00CE4CF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CE4CF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CE4CF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CE4CF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CE4CF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CE4CF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CE4CF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CE4CF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CE4CF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CE4CF7"/>
    <w:pPr>
      <w:numPr>
        <w:numId w:val="9"/>
      </w:numPr>
    </w:pPr>
  </w:style>
  <w:style w:type="paragraph" w:styleId="ListNumber2">
    <w:name w:val="List Number 2"/>
    <w:basedOn w:val="BodyText"/>
    <w:uiPriority w:val="1"/>
    <w:rsid w:val="00CE4CF7"/>
    <w:pPr>
      <w:numPr>
        <w:numId w:val="10"/>
      </w:numPr>
    </w:pPr>
  </w:style>
  <w:style w:type="paragraph" w:styleId="ListBullet">
    <w:name w:val="List Bullet"/>
    <w:basedOn w:val="BodyText"/>
    <w:uiPriority w:val="1"/>
    <w:rsid w:val="00CE4CF7"/>
    <w:pPr>
      <w:numPr>
        <w:numId w:val="5"/>
      </w:numPr>
      <w:tabs>
        <w:tab w:val="left" w:pos="1440"/>
      </w:tabs>
    </w:pPr>
    <w:rPr>
      <w:szCs w:val="24"/>
    </w:rPr>
  </w:style>
  <w:style w:type="paragraph" w:styleId="ListBullet2">
    <w:name w:val="List Bullet 2"/>
    <w:basedOn w:val="BodyText"/>
    <w:uiPriority w:val="1"/>
    <w:rsid w:val="00CE4CF7"/>
    <w:pPr>
      <w:numPr>
        <w:numId w:val="7"/>
      </w:numPr>
      <w:tabs>
        <w:tab w:val="clear" w:pos="1440"/>
        <w:tab w:val="left" w:pos="720"/>
      </w:tabs>
      <w:ind w:left="720"/>
    </w:pPr>
    <w:rPr>
      <w:szCs w:val="24"/>
    </w:rPr>
  </w:style>
  <w:style w:type="paragraph" w:styleId="Header">
    <w:name w:val="header"/>
    <w:basedOn w:val="Normal"/>
    <w:uiPriority w:val="1"/>
    <w:rsid w:val="00CE4CF7"/>
    <w:pPr>
      <w:tabs>
        <w:tab w:val="center" w:pos="4680"/>
        <w:tab w:val="right" w:pos="9360"/>
      </w:tabs>
    </w:pPr>
  </w:style>
  <w:style w:type="paragraph" w:styleId="Footer">
    <w:name w:val="footer"/>
    <w:basedOn w:val="Normal"/>
    <w:rsid w:val="00CE4CF7"/>
    <w:pPr>
      <w:tabs>
        <w:tab w:val="center" w:pos="4680"/>
        <w:tab w:val="right" w:pos="9360"/>
      </w:tabs>
    </w:pPr>
  </w:style>
  <w:style w:type="table" w:styleId="TableGrid">
    <w:name w:val="Table Grid"/>
    <w:basedOn w:val="TableNormal"/>
    <w:rsid w:val="00CE4C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CE4CF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CE4CF7"/>
    <w:rPr>
      <w:rFonts w:ascii="Times New Roman Bold" w:hAnsi="Times New Roman Bold" w:cs="Arial"/>
      <w:b/>
      <w:vanish/>
      <w:color w:val="FF0000"/>
    </w:rPr>
  </w:style>
  <w:style w:type="paragraph" w:customStyle="1" w:styleId="Formhidden">
    <w:name w:val="Form_hidden"/>
    <w:rsid w:val="00CE4CF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CE4CF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CE4CF7"/>
    <w:rPr>
      <w:sz w:val="20"/>
      <w:szCs w:val="20"/>
    </w:rPr>
  </w:style>
  <w:style w:type="paragraph" w:customStyle="1" w:styleId="Titlehidden">
    <w:name w:val="Title_hidden"/>
    <w:uiPriority w:val="2"/>
    <w:rsid w:val="00CE4CF7"/>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CE4CF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CE4CF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CE4CF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CE4CF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CE4C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CE4CF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CE4CF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CE4CF7"/>
    <w:rPr>
      <w:rFonts w:ascii="Arial" w:hAnsi="Arial"/>
      <w:i/>
      <w:vanish/>
      <w:color w:val="FF0000"/>
      <w:szCs w:val="24"/>
    </w:rPr>
  </w:style>
  <w:style w:type="paragraph" w:customStyle="1" w:styleId="MnLevel4hidden">
    <w:name w:val="MnLevel4_hidden"/>
    <w:uiPriority w:val="2"/>
    <w:rsid w:val="00CE4CF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CE4CF7"/>
    <w:pPr>
      <w:spacing w:after="240"/>
      <w:ind w:right="5760"/>
    </w:pPr>
    <w:rPr>
      <w:rFonts w:ascii="Arial" w:hAnsi="Arial" w:cs="Arial"/>
      <w:i/>
      <w:vanish/>
      <w:color w:val="FF0000"/>
    </w:rPr>
  </w:style>
  <w:style w:type="paragraph" w:customStyle="1" w:styleId="MnListnhidden">
    <w:name w:val="MnList_n_hidden"/>
    <w:uiPriority w:val="2"/>
    <w:rsid w:val="00CE4C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CE4C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CE4CF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CE4C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CE4CF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CE4CF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CE4CF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CE4CF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CE4CF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CE4C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CE4C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CE4C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CE4CF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CE4CF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CE4CF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CE4C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CE4CF7"/>
    <w:rPr>
      <w:vanish/>
      <w:sz w:val="4"/>
      <w:szCs w:val="24"/>
    </w:rPr>
  </w:style>
  <w:style w:type="paragraph" w:customStyle="1" w:styleId="clausetitlehidden">
    <w:name w:val="clause_title_hidden"/>
    <w:basedOn w:val="Normal"/>
    <w:autoRedefine/>
    <w:uiPriority w:val="2"/>
    <w:qFormat/>
    <w:rsid w:val="00CE4CF7"/>
    <w:pPr>
      <w:spacing w:before="480" w:after="240"/>
      <w:ind w:left="720" w:hanging="720"/>
    </w:pPr>
    <w:rPr>
      <w:i/>
      <w:vanish/>
      <w:color w:val="FF0000"/>
    </w:rPr>
  </w:style>
  <w:style w:type="paragraph" w:customStyle="1" w:styleId="clausenumberhidden">
    <w:name w:val="clause_number_hidden"/>
    <w:basedOn w:val="Normal"/>
    <w:uiPriority w:val="2"/>
    <w:qFormat/>
    <w:rsid w:val="00CE4CF7"/>
    <w:pPr>
      <w:spacing w:after="240"/>
    </w:pPr>
    <w:rPr>
      <w:rFonts w:ascii="Arial" w:hAnsi="Arial"/>
      <w:b/>
      <w:i/>
      <w:vanish/>
      <w:color w:val="FF0000"/>
      <w:sz w:val="20"/>
    </w:rPr>
  </w:style>
  <w:style w:type="paragraph" w:customStyle="1" w:styleId="TitleBeforeSubhidden">
    <w:name w:val="TitleBeforeSub_hidden"/>
    <w:uiPriority w:val="2"/>
    <w:qFormat/>
    <w:rsid w:val="00CE4CF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CE4CF7"/>
    <w:rPr>
      <w:rFonts w:ascii="Times New Roman" w:hAnsi="Times New Roman" w:cs="Times New Roman"/>
      <w:sz w:val="24"/>
    </w:rPr>
  </w:style>
  <w:style w:type="paragraph" w:customStyle="1" w:styleId="TitleBeforeSub">
    <w:name w:val="TitleBeforeSub"/>
    <w:uiPriority w:val="2"/>
    <w:qFormat/>
    <w:rsid w:val="00CE4CF7"/>
    <w:pPr>
      <w:keepNext/>
      <w:widowControl w:val="0"/>
      <w:suppressAutoHyphens/>
      <w:spacing w:line="340" w:lineRule="atLeast"/>
      <w:jc w:val="center"/>
    </w:pPr>
    <w:rPr>
      <w:b/>
      <w:sz w:val="28"/>
      <w:szCs w:val="24"/>
    </w:rPr>
  </w:style>
  <w:style w:type="paragraph" w:customStyle="1" w:styleId="Heading">
    <w:name w:val="Heading"/>
    <w:uiPriority w:val="99"/>
    <w:rsid w:val="00CE4CF7"/>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locked/>
    <w:rsid w:val="00CE4CF7"/>
    <w:rPr>
      <w:rFonts w:ascii="Times New Roman" w:hAnsi="Times New Roman" w:cs="Times New Roman"/>
      <w:b/>
      <w:bCs/>
      <w:sz w:val="28"/>
      <w:szCs w:val="24"/>
    </w:rPr>
  </w:style>
  <w:style w:type="paragraph" w:customStyle="1" w:styleId="Para">
    <w:name w:val="Para"/>
    <w:uiPriority w:val="99"/>
    <w:rsid w:val="00CE4CF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userinstruction">
    <w:name w:val="user_instruction"/>
    <w:uiPriority w:val="99"/>
    <w:rsid w:val="00CE4CF7"/>
    <w:pPr>
      <w:suppressAutoHyphens/>
      <w:autoSpaceDE w:val="0"/>
      <w:autoSpaceDN w:val="0"/>
      <w:adjustRightInd w:val="0"/>
      <w:spacing w:before="80" w:after="80" w:line="220" w:lineRule="atLeast"/>
      <w:jc w:val="center"/>
    </w:pPr>
    <w:rPr>
      <w:rFonts w:ascii="Arial" w:hAnsi="Arial" w:cs="Arial"/>
      <w:color w:val="FF0000"/>
      <w:w w:val="0"/>
    </w:rPr>
  </w:style>
  <w:style w:type="paragraph" w:customStyle="1" w:styleId="TableAnchor">
    <w:name w:val="TableAnchor"/>
    <w:uiPriority w:val="99"/>
    <w:rsid w:val="00CE4CF7"/>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CE4CF7"/>
    <w:rPr>
      <w:rFonts w:ascii="Arial" w:hAnsi="Arial"/>
      <w:b/>
      <w:sz w:val="20"/>
    </w:rPr>
  </w:style>
  <w:style w:type="character" w:customStyle="1" w:styleId="Italic">
    <w:name w:val="Italic"/>
    <w:uiPriority w:val="99"/>
    <w:rsid w:val="00CE4CF7"/>
    <w:rPr>
      <w:i/>
    </w:rPr>
  </w:style>
  <w:style w:type="character" w:customStyle="1" w:styleId="Bold">
    <w:name w:val="Bold"/>
    <w:uiPriority w:val="99"/>
    <w:rsid w:val="00CE4CF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A8BCB4-EB14-485E-A237-659058BDCE4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33F5257C-F272-4A8D-958C-9E7F25E0EC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E7F24E-71E5-4556-BED5-D1D381418A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887</Words>
  <Characters>5058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2010-04-20T04:56:00Z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