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1CC3A" w14:textId="77777777" w:rsidR="005B308D" w:rsidRDefault="005B308D">
      <w:pPr>
        <w:pStyle w:val="Formhidden"/>
      </w:pPr>
      <w:r>
        <w:t xml:space="preserve">Form </w:t>
      </w:r>
      <w:r w:rsidR="009C3511">
        <w:t>4</w:t>
      </w:r>
      <w:r>
        <w:t>-1</w:t>
      </w:r>
      <w:r w:rsidR="00C27828">
        <w:t>4</w:t>
      </w:r>
    </w:p>
    <w:p w14:paraId="7991CC3B" w14:textId="77777777" w:rsidR="005B308D" w:rsidRDefault="005B308D">
      <w:pPr>
        <w:pStyle w:val="DescriptionLasthidden"/>
      </w:pPr>
      <w:r>
        <w:t xml:space="preserve">This form sets out the mandatory notice under </w:t>
      </w:r>
      <w:r>
        <w:rPr>
          <w:rStyle w:val="Code"/>
        </w:rPr>
        <w:t>Tex. Nat. Res. Code § 61.025</w:t>
      </w:r>
      <w:r>
        <w:t xml:space="preserve">. The following notice must be placed in a written executory contract for the sale, transfer, or conveyance of real property (other than a mineral, leasehold, or security interest) located seaward of the Gulf Intracoastal Waterway to its southernmost point and then seaward of the longitudinal line also known as 97 degrees, 12', 19" which runs southerly to the international boundary from the intersection of the centerline of the Gulf Intracoastal Waterway and the Brownsville Ship Channel. </w:t>
      </w:r>
      <w:r>
        <w:rPr>
          <w:rStyle w:val="Code"/>
        </w:rPr>
        <w:t>Tex. Nat. Res. Code § 61.025(a)</w:t>
      </w:r>
      <w:r>
        <w:t>. If the real property described in this section is sold, transferred, or conveyed without a written executory contract, this notice must be delivered to the grant</w:t>
      </w:r>
      <w:r w:rsidR="00AB0B7B">
        <w:t>ee for execution and acknowledg</w:t>
      </w:r>
      <w:r>
        <w:t xml:space="preserve">ment of receipt not later than ten calendar days before closing of the transaction. </w:t>
      </w:r>
      <w:r>
        <w:rPr>
          <w:rStyle w:val="Code"/>
        </w:rPr>
        <w:t>Tex. Nat. Res. Code § 61.025(b)</w:t>
      </w:r>
      <w:r>
        <w:t xml:space="preserve">. Failure to include this notice in a written executory contract is grounds for the purchaser to terminate the contract and have its earnest money returned. </w:t>
      </w:r>
      <w:r>
        <w:rPr>
          <w:rStyle w:val="Code"/>
        </w:rPr>
        <w:t>Tex. Nat. Res. Code § 61.025(c)</w:t>
      </w:r>
      <w:r>
        <w:t xml:space="preserve">. Failure to provide this notice before closing, either in a written executory contract or in a separate written statement, is a deceptive act under </w:t>
      </w:r>
      <w:r>
        <w:rPr>
          <w:rStyle w:val="Code"/>
        </w:rPr>
        <w:t>Tex. Bus. &amp; Com. Code § 17.46</w:t>
      </w:r>
      <w:r>
        <w:t xml:space="preserve">. </w:t>
      </w:r>
      <w:r>
        <w:rPr>
          <w:rStyle w:val="Code"/>
        </w:rPr>
        <w:t>Tex. Nat. Res. Code § 61.025(d)</w:t>
      </w:r>
      <w:r>
        <w:t>.</w:t>
      </w:r>
    </w:p>
    <w:p w14:paraId="7991CC3C" w14:textId="77777777" w:rsidR="005B308D" w:rsidRDefault="005B308D">
      <w:pPr>
        <w:pStyle w:val="Title"/>
      </w:pPr>
      <w:r>
        <w:t>Notice to Purchaser of Property Seaward of Gulf Intracoastal Waterway</w:t>
      </w:r>
    </w:p>
    <w:p w14:paraId="7991CC3D" w14:textId="77777777" w:rsidR="005B308D" w:rsidRDefault="005B308D" w:rsidP="00AB0B7B">
      <w:pPr>
        <w:pStyle w:val="ParaFlushLeft"/>
        <w:tabs>
          <w:tab w:val="clear" w:pos="5040"/>
          <w:tab w:val="clear" w:pos="9000"/>
          <w:tab w:val="right" w:leader="underscore" w:pos="9360"/>
        </w:tabs>
      </w:pPr>
      <w:r>
        <w:t xml:space="preserve">CONCERNING THE PROPERTY AT </w:t>
      </w:r>
      <w:r>
        <w:tab/>
      </w:r>
    </w:p>
    <w:p w14:paraId="7991CC3E" w14:textId="77777777" w:rsidR="005B308D" w:rsidRDefault="005B308D" w:rsidP="00AB0B7B">
      <w:pPr>
        <w:pStyle w:val="Para"/>
        <w:jc w:val="center"/>
        <w:rPr>
          <w:w w:val="100"/>
        </w:rPr>
      </w:pPr>
      <w:r>
        <w:rPr>
          <w:w w:val="100"/>
        </w:rPr>
        <w:t>DISCLOSURE NOTICE CONCERNING LEGAL AND ECONOMIC RISKS OF PURCHASING COASTAL REAL PROPERTY NEAR A BEACH</w:t>
      </w:r>
    </w:p>
    <w:p w14:paraId="7991CC3F" w14:textId="77777777" w:rsidR="005B308D" w:rsidRDefault="005B308D">
      <w:pPr>
        <w:pStyle w:val="Para"/>
        <w:rPr>
          <w:w w:val="100"/>
        </w:rPr>
      </w:pPr>
      <w:r>
        <w:rPr>
          <w:w w:val="100"/>
        </w:rPr>
        <w:t>WARNING: THE FOLLOWING NOTICE OF POTENTIAL RISKS OF ECONOMIC LOSS TO YOU AS THE PURCHASER OF COASTAL REAL PROPERTY IS REQUIRED BY STATE LAW.</w:t>
      </w:r>
    </w:p>
    <w:p w14:paraId="7991CC40" w14:textId="77777777" w:rsidR="005B308D" w:rsidRDefault="005B308D">
      <w:pPr>
        <w:pStyle w:val="Para"/>
        <w:rPr>
          <w:w w:val="100"/>
        </w:rPr>
      </w:pPr>
      <w:r>
        <w:rPr>
          <w:w w:val="100"/>
        </w:rPr>
        <w:t>•</w:t>
      </w:r>
      <w:r>
        <w:rPr>
          <w:w w:val="100"/>
        </w:rPr>
        <w:t> </w:t>
      </w:r>
      <w:r>
        <w:rPr>
          <w:w w:val="100"/>
        </w:rPr>
        <w:t>READ THIS NOTICE CAREFULLY. DO NOT SIGN THIS CONTRACT UNTIL YOU FULLY UNDERSTAND THE RISKS YOU ARE ASSUMING.</w:t>
      </w:r>
    </w:p>
    <w:p w14:paraId="7991CC41" w14:textId="77777777" w:rsidR="005B308D" w:rsidRDefault="005B308D">
      <w:pPr>
        <w:pStyle w:val="Para"/>
        <w:rPr>
          <w:w w:val="100"/>
        </w:rPr>
      </w:pPr>
      <w:r>
        <w:rPr>
          <w:w w:val="100"/>
        </w:rPr>
        <w:t>•</w:t>
      </w:r>
      <w:r>
        <w:rPr>
          <w:w w:val="100"/>
        </w:rPr>
        <w:t> </w:t>
      </w:r>
      <w:r>
        <w:rPr>
          <w:w w:val="100"/>
        </w:rPr>
        <w:t>BY PURCHASING THIS PROPERTY, YOU MAY BE ASSUMING ECONOMIC RISKS OVER AND ABOVE THE RISKS INVOLVED IN PURCHASING INLAND REAL PROPERTY.</w:t>
      </w:r>
    </w:p>
    <w:p w14:paraId="7991CC42" w14:textId="77777777" w:rsidR="005B308D" w:rsidRDefault="005B308D">
      <w:pPr>
        <w:pStyle w:val="Para"/>
        <w:rPr>
          <w:w w:val="100"/>
        </w:rPr>
      </w:pPr>
      <w:r>
        <w:rPr>
          <w:w w:val="100"/>
        </w:rPr>
        <w:t>•</w:t>
      </w:r>
      <w:r>
        <w:rPr>
          <w:w w:val="100"/>
        </w:rPr>
        <w:t> </w:t>
      </w:r>
      <w:r>
        <w:rPr>
          <w:w w:val="100"/>
        </w:rPr>
        <w:t>IF YOU OWN A STRUCTURE LOCATED ON COASTAL REAL PROPERTY NEAR A GULF COAST BEACH, IT MAY COME TO BE LOCATED ON THE PUBLIC BEACH BECAUSE OF COASTAL EROSION AND STORM EVENTS.</w:t>
      </w:r>
    </w:p>
    <w:p w14:paraId="7991CC43" w14:textId="77777777" w:rsidR="005B308D" w:rsidRDefault="005B308D">
      <w:pPr>
        <w:pStyle w:val="Para"/>
        <w:rPr>
          <w:w w:val="100"/>
        </w:rPr>
      </w:pPr>
      <w:r>
        <w:rPr>
          <w:w w:val="100"/>
        </w:rPr>
        <w:t>•</w:t>
      </w:r>
      <w:r>
        <w:rPr>
          <w:w w:val="100"/>
        </w:rPr>
        <w:t> </w:t>
      </w:r>
      <w:r>
        <w:rPr>
          <w:w w:val="100"/>
        </w:rPr>
        <w:t>AS THE OWNER OF A STRUCTURE LOCATED ON THE PUBLIC BEACH, YOU COULD BE SUED BY THE STATE OF TEXAS AND ORDERED TO REMOVE THE STRUCTURE.</w:t>
      </w:r>
    </w:p>
    <w:p w14:paraId="7991CC44" w14:textId="77777777" w:rsidR="005B308D" w:rsidRDefault="005B308D">
      <w:pPr>
        <w:pStyle w:val="Para"/>
        <w:rPr>
          <w:w w:val="100"/>
        </w:rPr>
      </w:pPr>
      <w:r>
        <w:rPr>
          <w:w w:val="100"/>
        </w:rPr>
        <w:t>•</w:t>
      </w:r>
      <w:r>
        <w:rPr>
          <w:w w:val="100"/>
        </w:rPr>
        <w:t> </w:t>
      </w:r>
      <w:r>
        <w:rPr>
          <w:w w:val="100"/>
        </w:rPr>
        <w:t>THE COSTS OF REMOVING A STRUCTURE FROM THE PUBLIC BEACH AND ANY OTHER ECONOMIC LOSS INCURRED BECAUSE OF A REMOVAL ORDER WOULD BE SOLELY YOUR RESPONSIBILITY.</w:t>
      </w:r>
    </w:p>
    <w:p w14:paraId="7991CC45" w14:textId="77777777" w:rsidR="005B308D" w:rsidRDefault="005B308D">
      <w:pPr>
        <w:pStyle w:val="Para"/>
        <w:rPr>
          <w:w w:val="100"/>
        </w:rPr>
      </w:pPr>
      <w:r>
        <w:rPr>
          <w:w w:val="100"/>
        </w:rPr>
        <w:t xml:space="preserve">The real property described in this contract is located seaward of the Gulf Intracoastal </w:t>
      </w:r>
      <w:r>
        <w:rPr>
          <w:w w:val="100"/>
        </w:rPr>
        <w:lastRenderedPageBreak/>
        <w:t>Waterway to its southernmost point and then seaward of the longitudinal line also known as 97 degrees, 12', 19" which runs southerly to the international boundary from the intersection of the centerline of the Gulf Intracoastal Waterway and the Brownsville Ship Channel. If the property is in close proximity to a beach fronting the Gulf of Mexico, the purchaser is hereby advised that the public has acquired a right of use or easement to or over the area of any public beach by prescription, dedication, or presumption, or has retained a right by virtue of continuous right in the public since time immemorial, as recognized in law and custom.</w:t>
      </w:r>
    </w:p>
    <w:p w14:paraId="7991CC46" w14:textId="33DA10F2" w:rsidR="005B308D" w:rsidRDefault="005B308D">
      <w:pPr>
        <w:pStyle w:val="Para"/>
        <w:rPr>
          <w:w w:val="100"/>
        </w:rPr>
      </w:pPr>
      <w:r>
        <w:rPr>
          <w:w w:val="100"/>
        </w:rPr>
        <w:t xml:space="preserve">The extreme seaward boundary of natural vegetation that spreads continuously inland customarily marks the landward boundary of the public easement. If there is no clearly marked natural vegetation line, the landward boundary of the easement is as provided by </w:t>
      </w:r>
      <w:r w:rsidR="00677C85">
        <w:rPr>
          <w:w w:val="100"/>
        </w:rPr>
        <w:t>s</w:t>
      </w:r>
      <w:r>
        <w:rPr>
          <w:w w:val="100"/>
        </w:rPr>
        <w:t>ections 61.016 and 61.017, Natural Resources Code.</w:t>
      </w:r>
    </w:p>
    <w:p w14:paraId="7991CC47" w14:textId="77777777" w:rsidR="005B308D" w:rsidRDefault="005B308D">
      <w:pPr>
        <w:pStyle w:val="Para"/>
        <w:rPr>
          <w:w w:val="100"/>
        </w:rPr>
      </w:pPr>
      <w:r>
        <w:rPr>
          <w:w w:val="100"/>
        </w:rPr>
        <w:t>Much of the Gulf of Mexico coastline is eroding at rates of more than five feet per year. Erosion rates for all Texas Gulf property subject to the open beaches act are available from the Texas General Land Office.</w:t>
      </w:r>
    </w:p>
    <w:p w14:paraId="7991CC48" w14:textId="77777777" w:rsidR="005B308D" w:rsidRDefault="005B308D">
      <w:pPr>
        <w:pStyle w:val="Para"/>
        <w:rPr>
          <w:w w:val="100"/>
        </w:rPr>
      </w:pPr>
      <w:r>
        <w:rPr>
          <w:w w:val="100"/>
        </w:rPr>
        <w:t>State law prohibits any obstruction, barrier, restraint, or interference with the use of the public easement, including the placement of structures seaward of the landward boundary of the easement. OWNERS OF STRUCTURES ERECTED SEAWARD OF THE VEGETATION LINE (OR OTHER APPLICABLE EASEMENT BOUNDARY) OR THAT BECOME SEAWARD OF THE VEGETATION LINE AS A RESULT OF PROCESSES SUCH AS SHORELINE EROSION ARE SUBJECT TO A LAWSUIT BY THE STATE OF TEXAS TO REMOVE THE STRUCTURES.</w:t>
      </w:r>
    </w:p>
    <w:p w14:paraId="7991CC49" w14:textId="77777777" w:rsidR="005B308D" w:rsidRDefault="005B308D">
      <w:pPr>
        <w:pStyle w:val="Para"/>
        <w:rPr>
          <w:w w:val="100"/>
        </w:rPr>
      </w:pPr>
      <w:r>
        <w:rPr>
          <w:w w:val="100"/>
        </w:rPr>
        <w:t>The purchaser is hereby notified that the purchaser should:</w:t>
      </w:r>
    </w:p>
    <w:p w14:paraId="7991CC4A" w14:textId="77777777" w:rsidR="005B308D" w:rsidRDefault="005B308D" w:rsidP="005261F8">
      <w:pPr>
        <w:pStyle w:val="StepNumberParen"/>
        <w:ind w:firstLine="720"/>
        <w:rPr>
          <w:w w:val="100"/>
        </w:rPr>
      </w:pPr>
      <w:r>
        <w:rPr>
          <w:w w:val="100"/>
        </w:rPr>
        <w:t>(1)</w:t>
      </w:r>
      <w:r>
        <w:rPr>
          <w:w w:val="100"/>
        </w:rPr>
        <w:tab/>
        <w:t>determine the rate of shoreline erosion in the vicinity of the real property; and</w:t>
      </w:r>
    </w:p>
    <w:p w14:paraId="7991CC4B" w14:textId="77777777" w:rsidR="005B308D" w:rsidRDefault="005B308D" w:rsidP="005261F8">
      <w:pPr>
        <w:pStyle w:val="StepNumberParen"/>
        <w:ind w:firstLine="720"/>
      </w:pPr>
      <w:r>
        <w:rPr>
          <w:w w:val="100"/>
        </w:rPr>
        <w:t>(2)</w:t>
      </w:r>
      <w:r>
        <w:rPr>
          <w:w w:val="100"/>
        </w:rPr>
        <w:tab/>
        <w:t>seek the advice of an attorney or other qualified person before executing this contract or instrument of conveyance as to the relevance of these statutes and facts to the value of the property the purchaser is hereby purchasing or contracting to purchase.</w:t>
      </w:r>
    </w:p>
    <w:p w14:paraId="7991CC4C" w14:textId="77777777" w:rsidR="002C211D" w:rsidRDefault="002C211D" w:rsidP="00937698"/>
    <w:sectPr w:rsidR="002C211D" w:rsidSect="005B308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1CC4F" w14:textId="77777777" w:rsidR="008D6F00" w:rsidRDefault="008D6F00">
      <w:r>
        <w:separator/>
      </w:r>
    </w:p>
  </w:endnote>
  <w:endnote w:type="continuationSeparator" w:id="0">
    <w:p w14:paraId="7991CC50" w14:textId="77777777" w:rsidR="008D6F00" w:rsidRDefault="008D6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1CC52"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1CC4D" w14:textId="77777777" w:rsidR="008D6F00" w:rsidRDefault="008D6F00">
      <w:r>
        <w:separator/>
      </w:r>
    </w:p>
  </w:footnote>
  <w:footnote w:type="continuationSeparator" w:id="0">
    <w:p w14:paraId="7991CC4E" w14:textId="77777777" w:rsidR="008D6F00" w:rsidRDefault="008D6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1CC51"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01760890">
    <w:abstractNumId w:val="8"/>
  </w:num>
  <w:num w:numId="2" w16cid:durableId="560215898">
    <w:abstractNumId w:val="8"/>
  </w:num>
  <w:num w:numId="3" w16cid:durableId="691104821">
    <w:abstractNumId w:val="3"/>
  </w:num>
  <w:num w:numId="4" w16cid:durableId="709039090">
    <w:abstractNumId w:val="3"/>
  </w:num>
  <w:num w:numId="5" w16cid:durableId="1476293337">
    <w:abstractNumId w:val="9"/>
  </w:num>
  <w:num w:numId="6" w16cid:durableId="477767666">
    <w:abstractNumId w:val="9"/>
  </w:num>
  <w:num w:numId="7" w16cid:durableId="319508954">
    <w:abstractNumId w:val="7"/>
  </w:num>
  <w:num w:numId="8" w16cid:durableId="1425296709">
    <w:abstractNumId w:val="7"/>
  </w:num>
  <w:num w:numId="9" w16cid:durableId="681786020">
    <w:abstractNumId w:val="12"/>
  </w:num>
  <w:num w:numId="10" w16cid:durableId="1150367339">
    <w:abstractNumId w:val="14"/>
  </w:num>
  <w:num w:numId="11" w16cid:durableId="364478193">
    <w:abstractNumId w:val="8"/>
  </w:num>
  <w:num w:numId="12" w16cid:durableId="2033609933">
    <w:abstractNumId w:val="3"/>
  </w:num>
  <w:num w:numId="13" w16cid:durableId="298733606">
    <w:abstractNumId w:val="9"/>
  </w:num>
  <w:num w:numId="14" w16cid:durableId="1954359261">
    <w:abstractNumId w:val="7"/>
  </w:num>
  <w:num w:numId="15" w16cid:durableId="94177195">
    <w:abstractNumId w:val="6"/>
  </w:num>
  <w:num w:numId="16" w16cid:durableId="1275211342">
    <w:abstractNumId w:val="5"/>
  </w:num>
  <w:num w:numId="17" w16cid:durableId="1457992351">
    <w:abstractNumId w:val="4"/>
  </w:num>
  <w:num w:numId="18" w16cid:durableId="1271425519">
    <w:abstractNumId w:val="2"/>
  </w:num>
  <w:num w:numId="19" w16cid:durableId="1714648271">
    <w:abstractNumId w:val="1"/>
  </w:num>
  <w:num w:numId="20" w16cid:durableId="1688823695">
    <w:abstractNumId w:val="0"/>
  </w:num>
  <w:num w:numId="21" w16cid:durableId="1324044692">
    <w:abstractNumId w:val="10"/>
  </w:num>
  <w:num w:numId="22" w16cid:durableId="620914574">
    <w:abstractNumId w:val="11"/>
  </w:num>
  <w:num w:numId="23" w16cid:durableId="20625541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14.docx"/>
    <w:docVar w:name="TBBStampDate" w:val="07-22-2025"/>
    <w:docVar w:name="TBBVer" w:val="docx"/>
    <w:docVar w:name="TBBYear" w:val="2025"/>
  </w:docVars>
  <w:rsids>
    <w:rsidRoot w:val="005261F8"/>
    <w:rsid w:val="00006704"/>
    <w:rsid w:val="00020788"/>
    <w:rsid w:val="00035105"/>
    <w:rsid w:val="00040714"/>
    <w:rsid w:val="00055419"/>
    <w:rsid w:val="00075517"/>
    <w:rsid w:val="000A5288"/>
    <w:rsid w:val="000A6DC7"/>
    <w:rsid w:val="000B0F31"/>
    <w:rsid w:val="000B259E"/>
    <w:rsid w:val="000D0833"/>
    <w:rsid w:val="000D5936"/>
    <w:rsid w:val="00103258"/>
    <w:rsid w:val="00124EC7"/>
    <w:rsid w:val="001357DF"/>
    <w:rsid w:val="00167635"/>
    <w:rsid w:val="001B4977"/>
    <w:rsid w:val="001C7034"/>
    <w:rsid w:val="001D113B"/>
    <w:rsid w:val="001F39A6"/>
    <w:rsid w:val="00212AD4"/>
    <w:rsid w:val="00220537"/>
    <w:rsid w:val="00221D27"/>
    <w:rsid w:val="002733D1"/>
    <w:rsid w:val="002C1959"/>
    <w:rsid w:val="002C211D"/>
    <w:rsid w:val="002C3E97"/>
    <w:rsid w:val="002C456D"/>
    <w:rsid w:val="002D4648"/>
    <w:rsid w:val="002D4815"/>
    <w:rsid w:val="002F1892"/>
    <w:rsid w:val="002F4B1D"/>
    <w:rsid w:val="00300E00"/>
    <w:rsid w:val="003119E6"/>
    <w:rsid w:val="00320622"/>
    <w:rsid w:val="0037053D"/>
    <w:rsid w:val="00382C39"/>
    <w:rsid w:val="00385003"/>
    <w:rsid w:val="003864FA"/>
    <w:rsid w:val="00386B7C"/>
    <w:rsid w:val="0039278E"/>
    <w:rsid w:val="00397006"/>
    <w:rsid w:val="00397661"/>
    <w:rsid w:val="003C0B1C"/>
    <w:rsid w:val="003D7347"/>
    <w:rsid w:val="003E1B11"/>
    <w:rsid w:val="00417CAA"/>
    <w:rsid w:val="004217A3"/>
    <w:rsid w:val="0046632A"/>
    <w:rsid w:val="004731CF"/>
    <w:rsid w:val="00486DC0"/>
    <w:rsid w:val="004A1988"/>
    <w:rsid w:val="004C7340"/>
    <w:rsid w:val="004D7E2D"/>
    <w:rsid w:val="004E343B"/>
    <w:rsid w:val="004F601A"/>
    <w:rsid w:val="004F6E30"/>
    <w:rsid w:val="005038A4"/>
    <w:rsid w:val="00503F91"/>
    <w:rsid w:val="005140F1"/>
    <w:rsid w:val="005261F8"/>
    <w:rsid w:val="0054029D"/>
    <w:rsid w:val="00551332"/>
    <w:rsid w:val="00562AB8"/>
    <w:rsid w:val="0056511D"/>
    <w:rsid w:val="00570333"/>
    <w:rsid w:val="00574113"/>
    <w:rsid w:val="00582F0A"/>
    <w:rsid w:val="005906DA"/>
    <w:rsid w:val="005967D5"/>
    <w:rsid w:val="005A5E78"/>
    <w:rsid w:val="005A7E8A"/>
    <w:rsid w:val="005B3021"/>
    <w:rsid w:val="005B308D"/>
    <w:rsid w:val="005B4AE9"/>
    <w:rsid w:val="005B683D"/>
    <w:rsid w:val="005C4081"/>
    <w:rsid w:val="00607DAB"/>
    <w:rsid w:val="006161C4"/>
    <w:rsid w:val="006213A8"/>
    <w:rsid w:val="00627050"/>
    <w:rsid w:val="00630A0B"/>
    <w:rsid w:val="006546C9"/>
    <w:rsid w:val="00662FDF"/>
    <w:rsid w:val="00675960"/>
    <w:rsid w:val="00676127"/>
    <w:rsid w:val="00677C85"/>
    <w:rsid w:val="00680E59"/>
    <w:rsid w:val="006959A6"/>
    <w:rsid w:val="006A3149"/>
    <w:rsid w:val="006C0869"/>
    <w:rsid w:val="006C1BBF"/>
    <w:rsid w:val="006C2810"/>
    <w:rsid w:val="006D14DF"/>
    <w:rsid w:val="006E1BC6"/>
    <w:rsid w:val="0070594F"/>
    <w:rsid w:val="00724247"/>
    <w:rsid w:val="00746473"/>
    <w:rsid w:val="007500ED"/>
    <w:rsid w:val="00763BF6"/>
    <w:rsid w:val="00767ED8"/>
    <w:rsid w:val="00793C5D"/>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B3F1F"/>
    <w:rsid w:val="008C0391"/>
    <w:rsid w:val="008D3F7D"/>
    <w:rsid w:val="008D602D"/>
    <w:rsid w:val="008D6613"/>
    <w:rsid w:val="008D6F00"/>
    <w:rsid w:val="008F41A5"/>
    <w:rsid w:val="00903348"/>
    <w:rsid w:val="00937698"/>
    <w:rsid w:val="009518AF"/>
    <w:rsid w:val="009578AB"/>
    <w:rsid w:val="00965A52"/>
    <w:rsid w:val="00986BE4"/>
    <w:rsid w:val="009A2FE8"/>
    <w:rsid w:val="009A7C45"/>
    <w:rsid w:val="009C3511"/>
    <w:rsid w:val="009C6567"/>
    <w:rsid w:val="009D367E"/>
    <w:rsid w:val="009F1B69"/>
    <w:rsid w:val="00A026BD"/>
    <w:rsid w:val="00A0480A"/>
    <w:rsid w:val="00A0583D"/>
    <w:rsid w:val="00A156B5"/>
    <w:rsid w:val="00A329C9"/>
    <w:rsid w:val="00A86763"/>
    <w:rsid w:val="00AA74A2"/>
    <w:rsid w:val="00AB0B7B"/>
    <w:rsid w:val="00AB3BCD"/>
    <w:rsid w:val="00AE05F0"/>
    <w:rsid w:val="00AE61F5"/>
    <w:rsid w:val="00B12519"/>
    <w:rsid w:val="00B157A8"/>
    <w:rsid w:val="00B15C0D"/>
    <w:rsid w:val="00B17021"/>
    <w:rsid w:val="00B53927"/>
    <w:rsid w:val="00B60072"/>
    <w:rsid w:val="00B63FE8"/>
    <w:rsid w:val="00BA13C4"/>
    <w:rsid w:val="00BE2E17"/>
    <w:rsid w:val="00C00B50"/>
    <w:rsid w:val="00C04F3D"/>
    <w:rsid w:val="00C1069F"/>
    <w:rsid w:val="00C16AEA"/>
    <w:rsid w:val="00C27828"/>
    <w:rsid w:val="00C31867"/>
    <w:rsid w:val="00C41DF6"/>
    <w:rsid w:val="00C445FE"/>
    <w:rsid w:val="00C53FF7"/>
    <w:rsid w:val="00CA5BD5"/>
    <w:rsid w:val="00CB155D"/>
    <w:rsid w:val="00CC0744"/>
    <w:rsid w:val="00CC5C2E"/>
    <w:rsid w:val="00CD150A"/>
    <w:rsid w:val="00CD2379"/>
    <w:rsid w:val="00CF7073"/>
    <w:rsid w:val="00D25F76"/>
    <w:rsid w:val="00D2766B"/>
    <w:rsid w:val="00D35A20"/>
    <w:rsid w:val="00D47494"/>
    <w:rsid w:val="00D562D6"/>
    <w:rsid w:val="00D93A2E"/>
    <w:rsid w:val="00D94635"/>
    <w:rsid w:val="00D957EF"/>
    <w:rsid w:val="00D96D86"/>
    <w:rsid w:val="00DA05D8"/>
    <w:rsid w:val="00DA5281"/>
    <w:rsid w:val="00DB22E2"/>
    <w:rsid w:val="00DB48F2"/>
    <w:rsid w:val="00DC4601"/>
    <w:rsid w:val="00DC572B"/>
    <w:rsid w:val="00DF64BF"/>
    <w:rsid w:val="00E17361"/>
    <w:rsid w:val="00E7012A"/>
    <w:rsid w:val="00E81798"/>
    <w:rsid w:val="00E8508F"/>
    <w:rsid w:val="00E85248"/>
    <w:rsid w:val="00E90259"/>
    <w:rsid w:val="00E95688"/>
    <w:rsid w:val="00EF0713"/>
    <w:rsid w:val="00EF3BC1"/>
    <w:rsid w:val="00F1261B"/>
    <w:rsid w:val="00F22B3D"/>
    <w:rsid w:val="00F6777D"/>
    <w:rsid w:val="00F72310"/>
    <w:rsid w:val="00F75F04"/>
    <w:rsid w:val="00F94ACB"/>
    <w:rsid w:val="00FB1D5E"/>
    <w:rsid w:val="00FD58F3"/>
    <w:rsid w:val="00FD5B0C"/>
    <w:rsid w:val="00FF43B6"/>
    <w:rsid w:val="00FF5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1CC3A"/>
  <w15:chartTrackingRefBased/>
  <w15:docId w15:val="{EAFCA28F-623D-4B60-B8E6-E409C1FC8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B308D"/>
    <w:rPr>
      <w:sz w:val="24"/>
      <w:szCs w:val="24"/>
    </w:rPr>
  </w:style>
  <w:style w:type="paragraph" w:styleId="Heading1">
    <w:name w:val="heading 1"/>
    <w:basedOn w:val="Normal"/>
    <w:next w:val="Normal"/>
    <w:uiPriority w:val="1"/>
    <w:qFormat/>
    <w:rsid w:val="005B308D"/>
    <w:pPr>
      <w:keepNext/>
      <w:spacing w:before="240" w:after="60"/>
      <w:outlineLvl w:val="0"/>
    </w:pPr>
    <w:rPr>
      <w:b/>
      <w:bCs/>
      <w:kern w:val="32"/>
      <w:szCs w:val="32"/>
    </w:rPr>
  </w:style>
  <w:style w:type="paragraph" w:styleId="Heading2">
    <w:name w:val="heading 2"/>
    <w:basedOn w:val="Normal"/>
    <w:next w:val="Normal"/>
    <w:uiPriority w:val="1"/>
    <w:qFormat/>
    <w:rsid w:val="005B308D"/>
    <w:pPr>
      <w:keepNext/>
      <w:spacing w:before="240" w:after="60"/>
      <w:outlineLvl w:val="1"/>
    </w:pPr>
    <w:rPr>
      <w:b/>
      <w:bCs/>
      <w:iCs/>
      <w:szCs w:val="28"/>
    </w:rPr>
  </w:style>
  <w:style w:type="paragraph" w:styleId="Heading3">
    <w:name w:val="heading 3"/>
    <w:basedOn w:val="Normal"/>
    <w:next w:val="Normal"/>
    <w:uiPriority w:val="1"/>
    <w:qFormat/>
    <w:rsid w:val="005B308D"/>
    <w:pPr>
      <w:spacing w:before="240" w:after="60"/>
      <w:outlineLvl w:val="2"/>
    </w:pPr>
    <w:rPr>
      <w:b/>
      <w:bCs/>
      <w:szCs w:val="26"/>
    </w:rPr>
  </w:style>
  <w:style w:type="paragraph" w:styleId="Heading4">
    <w:name w:val="heading 4"/>
    <w:basedOn w:val="Normal"/>
    <w:next w:val="Normal"/>
    <w:uiPriority w:val="1"/>
    <w:qFormat/>
    <w:rsid w:val="005B308D"/>
    <w:pPr>
      <w:spacing w:before="240" w:after="60"/>
      <w:outlineLvl w:val="3"/>
    </w:pPr>
    <w:rPr>
      <w:b/>
      <w:bCs/>
      <w:szCs w:val="28"/>
    </w:rPr>
  </w:style>
  <w:style w:type="paragraph" w:styleId="Heading5">
    <w:name w:val="heading 5"/>
    <w:basedOn w:val="Normal"/>
    <w:next w:val="Normal"/>
    <w:uiPriority w:val="1"/>
    <w:qFormat/>
    <w:rsid w:val="005B308D"/>
    <w:pPr>
      <w:spacing w:before="240" w:after="60"/>
      <w:outlineLvl w:val="4"/>
    </w:pPr>
    <w:rPr>
      <w:b/>
      <w:bCs/>
      <w:iCs/>
      <w:szCs w:val="26"/>
    </w:rPr>
  </w:style>
  <w:style w:type="paragraph" w:styleId="Heading6">
    <w:name w:val="heading 6"/>
    <w:basedOn w:val="Normal"/>
    <w:next w:val="Normal"/>
    <w:uiPriority w:val="1"/>
    <w:qFormat/>
    <w:rsid w:val="005B308D"/>
    <w:pPr>
      <w:spacing w:before="240" w:after="60"/>
      <w:outlineLvl w:val="5"/>
    </w:pPr>
    <w:rPr>
      <w:b/>
      <w:bCs/>
      <w:szCs w:val="22"/>
    </w:rPr>
  </w:style>
  <w:style w:type="paragraph" w:styleId="Heading7">
    <w:name w:val="heading 7"/>
    <w:basedOn w:val="Normal"/>
    <w:next w:val="Normal"/>
    <w:uiPriority w:val="1"/>
    <w:qFormat/>
    <w:rsid w:val="005B308D"/>
    <w:pPr>
      <w:spacing w:before="240" w:after="60"/>
      <w:outlineLvl w:val="6"/>
    </w:pPr>
    <w:rPr>
      <w:b/>
    </w:rPr>
  </w:style>
  <w:style w:type="paragraph" w:styleId="Heading8">
    <w:name w:val="heading 8"/>
    <w:basedOn w:val="Normal"/>
    <w:next w:val="Normal"/>
    <w:uiPriority w:val="1"/>
    <w:qFormat/>
    <w:rsid w:val="005B308D"/>
    <w:pPr>
      <w:spacing w:before="240" w:after="60"/>
      <w:outlineLvl w:val="7"/>
    </w:pPr>
    <w:rPr>
      <w:b/>
      <w:iCs/>
    </w:rPr>
  </w:style>
  <w:style w:type="paragraph" w:styleId="Heading9">
    <w:name w:val="heading 9"/>
    <w:basedOn w:val="Normal"/>
    <w:next w:val="Normal"/>
    <w:uiPriority w:val="2"/>
    <w:qFormat/>
    <w:rsid w:val="005B308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B308D"/>
    <w:pPr>
      <w:spacing w:after="240"/>
    </w:pPr>
    <w:rPr>
      <w:szCs w:val="20"/>
    </w:rPr>
  </w:style>
  <w:style w:type="paragraph" w:styleId="Quote">
    <w:name w:val="Quote"/>
    <w:basedOn w:val="BodyText"/>
    <w:uiPriority w:val="2"/>
    <w:qFormat/>
    <w:rsid w:val="005B308D"/>
    <w:pPr>
      <w:ind w:left="1440" w:right="1440"/>
    </w:pPr>
  </w:style>
  <w:style w:type="paragraph" w:customStyle="1" w:styleId="BodyTextContinued">
    <w:name w:val="Body Text Continued"/>
    <w:basedOn w:val="BodyText"/>
    <w:next w:val="BodyText"/>
    <w:rsid w:val="005B308D"/>
  </w:style>
  <w:style w:type="paragraph" w:styleId="TOC1">
    <w:name w:val="toc 1"/>
    <w:basedOn w:val="Normal"/>
    <w:next w:val="Normal"/>
    <w:autoRedefine/>
    <w:uiPriority w:val="2"/>
    <w:rsid w:val="005B308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B308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B308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B308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B308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B308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B308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B308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B308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B308D"/>
    <w:pPr>
      <w:numPr>
        <w:numId w:val="9"/>
      </w:numPr>
    </w:pPr>
  </w:style>
  <w:style w:type="paragraph" w:styleId="ListNumber2">
    <w:name w:val="List Number 2"/>
    <w:basedOn w:val="BodyText"/>
    <w:uiPriority w:val="1"/>
    <w:rsid w:val="005B308D"/>
    <w:pPr>
      <w:numPr>
        <w:numId w:val="10"/>
      </w:numPr>
    </w:pPr>
  </w:style>
  <w:style w:type="paragraph" w:styleId="ListBullet">
    <w:name w:val="List Bullet"/>
    <w:basedOn w:val="BodyText"/>
    <w:uiPriority w:val="1"/>
    <w:rsid w:val="005B308D"/>
    <w:pPr>
      <w:numPr>
        <w:numId w:val="5"/>
      </w:numPr>
      <w:tabs>
        <w:tab w:val="left" w:pos="1440"/>
      </w:tabs>
    </w:pPr>
    <w:rPr>
      <w:szCs w:val="24"/>
    </w:rPr>
  </w:style>
  <w:style w:type="paragraph" w:styleId="ListBullet2">
    <w:name w:val="List Bullet 2"/>
    <w:basedOn w:val="BodyText"/>
    <w:uiPriority w:val="1"/>
    <w:rsid w:val="005B308D"/>
    <w:pPr>
      <w:numPr>
        <w:numId w:val="7"/>
      </w:numPr>
      <w:tabs>
        <w:tab w:val="clear" w:pos="1440"/>
        <w:tab w:val="left" w:pos="720"/>
      </w:tabs>
      <w:ind w:left="720"/>
    </w:pPr>
    <w:rPr>
      <w:szCs w:val="24"/>
    </w:rPr>
  </w:style>
  <w:style w:type="paragraph" w:styleId="Header">
    <w:name w:val="header"/>
    <w:basedOn w:val="Normal"/>
    <w:uiPriority w:val="1"/>
    <w:rsid w:val="005B308D"/>
    <w:pPr>
      <w:tabs>
        <w:tab w:val="center" w:pos="4680"/>
        <w:tab w:val="right" w:pos="9360"/>
      </w:tabs>
    </w:pPr>
  </w:style>
  <w:style w:type="paragraph" w:styleId="Footer">
    <w:name w:val="footer"/>
    <w:basedOn w:val="Normal"/>
    <w:rsid w:val="005B308D"/>
    <w:pPr>
      <w:tabs>
        <w:tab w:val="center" w:pos="4680"/>
        <w:tab w:val="right" w:pos="9360"/>
      </w:tabs>
    </w:pPr>
  </w:style>
  <w:style w:type="table" w:styleId="TableGrid">
    <w:name w:val="Table Grid"/>
    <w:basedOn w:val="TableNormal"/>
    <w:rsid w:val="005B30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B308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B308D"/>
    <w:rPr>
      <w:rFonts w:ascii="Times New Roman Bold" w:hAnsi="Times New Roman Bold" w:cs="Arial"/>
      <w:b/>
      <w:vanish/>
      <w:color w:val="FF0000"/>
    </w:rPr>
  </w:style>
  <w:style w:type="paragraph" w:customStyle="1" w:styleId="Formhidden">
    <w:name w:val="Form_hidden"/>
    <w:rsid w:val="005B308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B308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B308D"/>
    <w:rPr>
      <w:sz w:val="20"/>
      <w:szCs w:val="20"/>
    </w:rPr>
  </w:style>
  <w:style w:type="paragraph" w:customStyle="1" w:styleId="Titlehidden">
    <w:name w:val="Title_hidden"/>
    <w:uiPriority w:val="2"/>
    <w:rsid w:val="005B308D"/>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5B308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B308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B308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B308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B308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B308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B308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B308D"/>
    <w:rPr>
      <w:rFonts w:ascii="Arial" w:hAnsi="Arial"/>
      <w:i/>
      <w:vanish/>
      <w:color w:val="FF0000"/>
      <w:szCs w:val="24"/>
    </w:rPr>
  </w:style>
  <w:style w:type="paragraph" w:customStyle="1" w:styleId="MnLevel4hidden">
    <w:name w:val="MnLevel4_hidden"/>
    <w:uiPriority w:val="2"/>
    <w:rsid w:val="005B308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B308D"/>
    <w:pPr>
      <w:spacing w:after="240"/>
      <w:ind w:right="5760"/>
    </w:pPr>
    <w:rPr>
      <w:rFonts w:ascii="Arial" w:hAnsi="Arial" w:cs="Arial"/>
      <w:i/>
      <w:vanish/>
      <w:color w:val="FF0000"/>
    </w:rPr>
  </w:style>
  <w:style w:type="paragraph" w:customStyle="1" w:styleId="MnListnhidden">
    <w:name w:val="MnList_n_hidden"/>
    <w:uiPriority w:val="2"/>
    <w:rsid w:val="005B308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B308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B308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B308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B308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B308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B308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B308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B308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B308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B308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B308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B308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B308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B308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B308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B308D"/>
    <w:rPr>
      <w:vanish/>
      <w:sz w:val="4"/>
      <w:szCs w:val="24"/>
    </w:rPr>
  </w:style>
  <w:style w:type="paragraph" w:customStyle="1" w:styleId="clausetitlehidden">
    <w:name w:val="clause_title_hidden"/>
    <w:basedOn w:val="Normal"/>
    <w:autoRedefine/>
    <w:uiPriority w:val="2"/>
    <w:qFormat/>
    <w:rsid w:val="005B308D"/>
    <w:pPr>
      <w:spacing w:before="480" w:after="240"/>
      <w:ind w:left="720" w:hanging="720"/>
    </w:pPr>
    <w:rPr>
      <w:i/>
      <w:vanish/>
      <w:color w:val="FF0000"/>
    </w:rPr>
  </w:style>
  <w:style w:type="paragraph" w:customStyle="1" w:styleId="clausenumberhidden">
    <w:name w:val="clause_number_hidden"/>
    <w:basedOn w:val="Normal"/>
    <w:uiPriority w:val="2"/>
    <w:qFormat/>
    <w:rsid w:val="005B308D"/>
    <w:pPr>
      <w:spacing w:after="240"/>
    </w:pPr>
    <w:rPr>
      <w:rFonts w:ascii="Arial" w:hAnsi="Arial"/>
      <w:b/>
      <w:i/>
      <w:vanish/>
      <w:color w:val="FF0000"/>
      <w:sz w:val="20"/>
    </w:rPr>
  </w:style>
  <w:style w:type="paragraph" w:customStyle="1" w:styleId="TitleBeforeSubhidden">
    <w:name w:val="TitleBeforeSub_hidden"/>
    <w:uiPriority w:val="2"/>
    <w:qFormat/>
    <w:rsid w:val="005B308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5B308D"/>
    <w:rPr>
      <w:rFonts w:ascii="Times New Roman" w:hAnsi="Times New Roman" w:cs="Times New Roman"/>
      <w:sz w:val="24"/>
    </w:rPr>
  </w:style>
  <w:style w:type="paragraph" w:customStyle="1" w:styleId="TitleBeforeSub">
    <w:name w:val="TitleBeforeSub"/>
    <w:uiPriority w:val="2"/>
    <w:qFormat/>
    <w:rsid w:val="005B308D"/>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5B308D"/>
    <w:rPr>
      <w:rFonts w:ascii="Times New Roman" w:hAnsi="Times New Roman" w:cs="Times New Roman"/>
      <w:b/>
      <w:bCs/>
      <w:sz w:val="28"/>
      <w:szCs w:val="24"/>
    </w:rPr>
  </w:style>
  <w:style w:type="paragraph" w:customStyle="1" w:styleId="Para">
    <w:name w:val="Para"/>
    <w:uiPriority w:val="99"/>
    <w:rsid w:val="005B308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Paren">
    <w:name w:val="StepNumberParen"/>
    <w:uiPriority w:val="99"/>
    <w:rsid w:val="005B308D"/>
    <w:pPr>
      <w:widowControl w:val="0"/>
      <w:suppressAutoHyphens/>
      <w:autoSpaceDE w:val="0"/>
      <w:autoSpaceDN w:val="0"/>
      <w:adjustRightInd w:val="0"/>
      <w:spacing w:after="240" w:line="280" w:lineRule="atLeast"/>
    </w:pPr>
    <w:rPr>
      <w:color w:val="000000"/>
      <w:w w:val="0"/>
      <w:sz w:val="24"/>
      <w:szCs w:val="24"/>
    </w:rPr>
  </w:style>
  <w:style w:type="character" w:customStyle="1" w:styleId="Code">
    <w:name w:val="Code"/>
    <w:uiPriority w:val="99"/>
    <w:rsid w:val="005B3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1D11E88E-32D1-4727-B678-F2BB5BDD6866}">
  <ds:schemaRefs>
    <ds:schemaRef ds:uri="http://schemas.microsoft.com/sharepoint/v3/contenttype/forms"/>
  </ds:schemaRefs>
</ds:datastoreItem>
</file>

<file path=customXml/itemProps2.xml><?xml version="1.0" encoding="utf-8"?>
<ds:datastoreItem xmlns:ds="http://schemas.openxmlformats.org/officeDocument/2006/customXml" ds:itemID="{EA9F87D5-09E3-43F4-A450-73C8BD2B0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1CA30B-8B08-4657-9F64-6173E753C90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CED23190-6D0B-453E-AE74-B281B4E9372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673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2011-05-03T15:09:00Z</cp:lastPrinted>
  <dcterms:created xsi:type="dcterms:W3CDTF">2022-04-12T15:17:00Z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14205600.0000000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