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D3A56" w14:textId="77777777" w:rsidR="00967CA8" w:rsidRDefault="00A05FAB">
      <w:pPr>
        <w:pStyle w:val="Formhidden"/>
      </w:pPr>
      <w:r>
        <w:t>Form 26-22</w:t>
      </w:r>
    </w:p>
    <w:p w14:paraId="5E5D3A57" w14:textId="77777777" w:rsidR="00967CA8" w:rsidRDefault="00967CA8">
      <w:pPr>
        <w:pStyle w:val="DescriptionLasthidden"/>
      </w:pPr>
      <w:r>
        <w:t>This form is used to grant an easement across one tract of land for ingress to and egress from another tract of land.</w:t>
      </w:r>
    </w:p>
    <w:p w14:paraId="5E5D3A58" w14:textId="77777777" w:rsidR="00967CA8" w:rsidRDefault="00967CA8">
      <w:pPr>
        <w:pStyle w:val="Title"/>
      </w:pPr>
      <w:r>
        <w:t>Easement Agreement for Access</w:t>
      </w:r>
    </w:p>
    <w:p w14:paraId="5E5D3A59" w14:textId="77777777" w:rsidR="00967CA8" w:rsidRDefault="00967CA8" w:rsidP="00B86ADE">
      <w:pPr>
        <w:pStyle w:val="Para"/>
        <w:ind w:firstLine="0"/>
        <w:rPr>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5E5D3A5A" w14:textId="77777777" w:rsidR="00967CA8" w:rsidRDefault="00967CA8">
      <w:pPr>
        <w:pStyle w:val="ParaFlushLeft"/>
      </w:pPr>
      <w:r>
        <w:t>Date:</w:t>
      </w:r>
    </w:p>
    <w:p w14:paraId="5E5D3A5B" w14:textId="77777777" w:rsidR="00967CA8" w:rsidRDefault="00967CA8">
      <w:pPr>
        <w:pStyle w:val="ParaFlushLeft"/>
      </w:pPr>
      <w:r>
        <w:t>Grantor:</w:t>
      </w:r>
    </w:p>
    <w:p w14:paraId="5E5D3A5C" w14:textId="77777777" w:rsidR="00967CA8" w:rsidRDefault="00967CA8">
      <w:pPr>
        <w:pStyle w:val="ParaFlushLeft"/>
      </w:pPr>
      <w:r>
        <w:t>Grantor’s Mailing Address:</w:t>
      </w:r>
    </w:p>
    <w:p w14:paraId="5E5D3A5D" w14:textId="77777777" w:rsidR="00967CA8" w:rsidRDefault="00967CA8">
      <w:pPr>
        <w:pStyle w:val="ParaFlushLeft"/>
      </w:pPr>
      <w:r>
        <w:t>Grantee:</w:t>
      </w:r>
    </w:p>
    <w:p w14:paraId="5E5D3A5E" w14:textId="77777777" w:rsidR="00967CA8" w:rsidRDefault="00967CA8">
      <w:pPr>
        <w:pStyle w:val="ParaFlushLeft"/>
      </w:pPr>
      <w:r>
        <w:t>Grantee’s Mailing Address:</w:t>
      </w:r>
    </w:p>
    <w:p w14:paraId="5E5D3A5F" w14:textId="77777777" w:rsidR="00967CA8" w:rsidRDefault="00967CA8">
      <w:pPr>
        <w:pStyle w:val="ParaFlushLeft"/>
      </w:pPr>
      <w:r>
        <w:t>[Grantor’s Lienholder:]</w:t>
      </w:r>
    </w:p>
    <w:p w14:paraId="5E5D3A60" w14:textId="77777777" w:rsidR="00967CA8" w:rsidRDefault="00967CA8" w:rsidP="00B86ADE">
      <w:pPr>
        <w:pStyle w:val="Para"/>
        <w:ind w:firstLine="0"/>
        <w:rPr>
          <w:w w:val="100"/>
        </w:rPr>
      </w:pPr>
      <w:r>
        <w:rPr>
          <w:w w:val="100"/>
        </w:rPr>
        <w:t>[Grantor’s Lienholder’s Mailing Address:]</w:t>
      </w:r>
    </w:p>
    <w:p w14:paraId="5E5D3A61" w14:textId="77777777" w:rsidR="00967CA8" w:rsidRDefault="00967CA8" w:rsidP="00B86ADE">
      <w:pPr>
        <w:pStyle w:val="Para"/>
        <w:ind w:left="720" w:hanging="720"/>
        <w:rPr>
          <w:w w:val="100"/>
        </w:rPr>
      </w:pPr>
      <w:r>
        <w:rPr>
          <w:w w:val="100"/>
        </w:rPr>
        <w:t>Dominant Estate Property: [</w:t>
      </w:r>
      <w:r>
        <w:rPr>
          <w:rStyle w:val="Substitute"/>
          <w:w w:val="100"/>
        </w:rPr>
        <w:t>describe by metes and bounds or plat reference the real property benefited by the easement</w:t>
      </w:r>
      <w:r>
        <w:rPr>
          <w:w w:val="100"/>
        </w:rPr>
        <w:t>], and portions thereof.</w:t>
      </w:r>
    </w:p>
    <w:p w14:paraId="5E5D3A62" w14:textId="77777777" w:rsidR="00967CA8" w:rsidRDefault="00967CA8" w:rsidP="00B86ADE">
      <w:pPr>
        <w:pStyle w:val="Para"/>
        <w:ind w:left="720" w:hanging="720"/>
        <w:rPr>
          <w:w w:val="100"/>
        </w:rPr>
      </w:pPr>
      <w:r>
        <w:rPr>
          <w:w w:val="100"/>
        </w:rPr>
        <w:t>Easement Property: [</w:t>
      </w:r>
      <w:r>
        <w:rPr>
          <w:rStyle w:val="Substitute"/>
          <w:w w:val="100"/>
        </w:rPr>
        <w:t>Describe by metes and bounds the location of the easement and include a drawing of the easement as an exhibit, if available.</w:t>
      </w:r>
      <w:r>
        <w:rPr>
          <w:w w:val="100"/>
        </w:rPr>
        <w:t>]</w:t>
      </w:r>
    </w:p>
    <w:p w14:paraId="5E5D3A63" w14:textId="77777777" w:rsidR="00967CA8" w:rsidRDefault="00967CA8" w:rsidP="00B86ADE">
      <w:pPr>
        <w:pStyle w:val="Para"/>
        <w:ind w:left="720" w:hanging="720"/>
        <w:rPr>
          <w:w w:val="100"/>
        </w:rPr>
      </w:pPr>
      <w:r>
        <w:rPr>
          <w:w w:val="100"/>
        </w:rPr>
        <w:t>Easement Purpose: For providing free and uninterrupted pedestrian and vehicular ingress to and egress from the Dominant Estate Property, to and from [</w:t>
      </w:r>
      <w:r>
        <w:rPr>
          <w:rStyle w:val="Substitute"/>
          <w:w w:val="100"/>
        </w:rPr>
        <w:t>describe public thoroughfare</w:t>
      </w:r>
      <w:r>
        <w:rPr>
          <w:w w:val="100"/>
        </w:rPr>
        <w:t>].</w:t>
      </w:r>
    </w:p>
    <w:p w14:paraId="5E5D3A64" w14:textId="77777777" w:rsidR="00967CA8" w:rsidRDefault="00967CA8" w:rsidP="00B86ADE">
      <w:pPr>
        <w:pStyle w:val="Para"/>
        <w:ind w:left="720" w:hanging="720"/>
        <w:rPr>
          <w:w w:val="100"/>
        </w:rPr>
      </w:pPr>
      <w:r>
        <w:rPr>
          <w:w w:val="100"/>
        </w:rPr>
        <w:t>Consideration: Good and valuable consideration, the receipt and sufficiency of which are hereby acknowledged by Grantor.</w:t>
      </w:r>
    </w:p>
    <w:p w14:paraId="5E5D3A65" w14:textId="77777777" w:rsidR="00967CA8" w:rsidRDefault="00967CA8" w:rsidP="00B86ADE">
      <w:pPr>
        <w:pStyle w:val="Para"/>
        <w:ind w:left="720" w:hanging="720"/>
        <w:rPr>
          <w:w w:val="100"/>
        </w:rPr>
      </w:pPr>
      <w:r>
        <w:rPr>
          <w:w w:val="100"/>
        </w:rPr>
        <w:t>Reservations from Conveyance: [</w:t>
      </w:r>
      <w:r>
        <w:rPr>
          <w:rStyle w:val="Substitute"/>
          <w:w w:val="100"/>
        </w:rPr>
        <w:t>Describe here or in an attached exhibit any reservations from the conveyance in this instrument.</w:t>
      </w:r>
      <w:r>
        <w:rPr>
          <w:w w:val="100"/>
        </w:rPr>
        <w:t>]</w:t>
      </w:r>
    </w:p>
    <w:p w14:paraId="5E5D3A66" w14:textId="77777777" w:rsidR="00967CA8" w:rsidRDefault="00967CA8" w:rsidP="00B86ADE">
      <w:pPr>
        <w:pStyle w:val="Para"/>
        <w:ind w:left="720" w:hanging="720"/>
        <w:rPr>
          <w:w w:val="100"/>
        </w:rPr>
      </w:pPr>
      <w:r>
        <w:rPr>
          <w:w w:val="100"/>
        </w:rPr>
        <w:t>Exceptions to Warranty: [</w:t>
      </w:r>
      <w:r>
        <w:rPr>
          <w:rStyle w:val="Substitute"/>
          <w:w w:val="100"/>
        </w:rPr>
        <w:t>Describe here or in an attached exhibit any exceptions to the warranties in this instrument.</w:t>
      </w:r>
      <w:r>
        <w:rPr>
          <w:w w:val="100"/>
        </w:rPr>
        <w:t>]</w:t>
      </w:r>
    </w:p>
    <w:p w14:paraId="5E5D3A67" w14:textId="77777777" w:rsidR="00967CA8" w:rsidRDefault="00967CA8" w:rsidP="00B86ADE">
      <w:pPr>
        <w:pStyle w:val="Para"/>
        <w:ind w:left="720" w:hanging="720"/>
        <w:rPr>
          <w:w w:val="100"/>
        </w:rPr>
      </w:pPr>
      <w:r>
        <w:rPr>
          <w:w w:val="100"/>
        </w:rPr>
        <w:t xml:space="preserve">Grant of Easement: Grantor, for the Consideration and subject to the Reservations from Conveyance and Exceptions to Warranty, grants, sells, and conveys to Grantee and Grantee’s heirs, successors, and assigns an easement over, on, and across the Easement </w:t>
      </w:r>
      <w:r>
        <w:rPr>
          <w:w w:val="100"/>
        </w:rPr>
        <w:lastRenderedPageBreak/>
        <w:t>Property for the Easement Purpose and for the benefit of the Dominant Estate Property, together with all and singular the rights and appurtenances thereto in any way belonging (collectively, the “Easement”), to have and to hold the Easement to Grantee and Grantee’s heirs, successors, and assigns forever. Grantor binds Grantor and Grantor’s heirs, successors, and assigns to warrant and forever defend the title to the Easement in Grantee and Grantee’s heirs, successors, and assigns against every person whomsoever lawfully claiming or to claim the Easement or any part thereof, except as to the Reservations from Conveyance and Exceptions to Warranty [</w:t>
      </w:r>
      <w:r>
        <w:rPr>
          <w:rStyle w:val="Substitute"/>
          <w:w w:val="100"/>
        </w:rPr>
        <w:t xml:space="preserve">include if applicable: </w:t>
      </w:r>
      <w:r>
        <w:rPr>
          <w:w w:val="100"/>
        </w:rPr>
        <w:t>, to the extent that such claim arises by, through, or under Grantor but not otherwise].</w:t>
      </w:r>
    </w:p>
    <w:p w14:paraId="5E5D3A68" w14:textId="77777777" w:rsidR="00967CA8" w:rsidRDefault="00967CA8" w:rsidP="00B86ADE">
      <w:pPr>
        <w:pStyle w:val="Para"/>
        <w:ind w:left="720" w:hanging="720"/>
        <w:rPr>
          <w:w w:val="100"/>
        </w:rPr>
      </w:pPr>
      <w:r>
        <w:rPr>
          <w:w w:val="100"/>
        </w:rPr>
        <w:t>Terms and Conditions: The following terms and conditions apply to the Easement granted by this agreement:</w:t>
      </w:r>
    </w:p>
    <w:p w14:paraId="5E5D3A69" w14:textId="77777777" w:rsidR="00967CA8" w:rsidRDefault="00967CA8">
      <w:pPr>
        <w:pStyle w:val="StepNumber1st"/>
        <w:rPr>
          <w:w w:val="100"/>
        </w:rPr>
      </w:pPr>
      <w:r>
        <w:rPr>
          <w:rStyle w:val="Italic"/>
          <w:i w:val="0"/>
          <w:iCs w:val="0"/>
          <w:w w:val="100"/>
        </w:rPr>
        <w:t>1.</w:t>
      </w:r>
      <w:r>
        <w:rPr>
          <w:rStyle w:val="Italic"/>
          <w:i w:val="0"/>
          <w:iCs w:val="0"/>
          <w:w w:val="100"/>
        </w:rPr>
        <w:tab/>
      </w:r>
      <w:r>
        <w:rPr>
          <w:rStyle w:val="Italic"/>
          <w:w w:val="100"/>
        </w:rPr>
        <w:t>Character of Easement.</w:t>
      </w:r>
      <w:r>
        <w:rPr>
          <w:w w:val="100"/>
        </w:rPr>
        <w:t> </w:t>
      </w:r>
      <w:r>
        <w:rPr>
          <w:w w:val="100"/>
        </w:rPr>
        <w:t>The Easement is appurtenant to and runs with all or any portion of the Dominant Estate Property, whether or not the Easement is referenced or described in any conveyance of all or such portion of the Dominant Estate Property. The Easement is nonexclusive and irrevocable. The Easement is for the benefit of Grantee and Grantee’s heirs, successors, and assigns who at any time own the Dominant Estate Property or any interest in the Dominant Estate Property (as applicable, the “Holder”).</w:t>
      </w:r>
    </w:p>
    <w:p w14:paraId="5E5D3A6A" w14:textId="77777777" w:rsidR="00967CA8" w:rsidRDefault="00967CA8">
      <w:pPr>
        <w:pStyle w:val="StepNumber"/>
        <w:rPr>
          <w:w w:val="100"/>
        </w:rPr>
      </w:pPr>
      <w:r>
        <w:rPr>
          <w:rStyle w:val="Italic"/>
          <w:i w:val="0"/>
          <w:iCs w:val="0"/>
          <w:w w:val="100"/>
        </w:rPr>
        <w:t>2.</w:t>
      </w:r>
      <w:r>
        <w:rPr>
          <w:rStyle w:val="Italic"/>
          <w:i w:val="0"/>
          <w:iCs w:val="0"/>
          <w:w w:val="100"/>
        </w:rPr>
        <w:tab/>
      </w:r>
      <w:r>
        <w:rPr>
          <w:rStyle w:val="Italic"/>
          <w:w w:val="100"/>
        </w:rPr>
        <w:t>Duration of Easement.</w:t>
      </w:r>
      <w:r>
        <w:rPr>
          <w:w w:val="100"/>
        </w:rPr>
        <w:t> </w:t>
      </w:r>
      <w:r w:rsidR="00A05FAB">
        <w:rPr>
          <w:w w:val="100"/>
        </w:rPr>
        <w:t>[</w:t>
      </w:r>
      <w:r>
        <w:rPr>
          <w:w w:val="100"/>
        </w:rPr>
        <w:t>The duration of the Easement is perpetual.</w:t>
      </w:r>
      <w:r w:rsidR="00EB256F">
        <w:rPr>
          <w:w w:val="100"/>
        </w:rPr>
        <w:t>/</w:t>
      </w:r>
      <w:r w:rsidR="00A05FAB">
        <w:rPr>
          <w:w w:val="100"/>
        </w:rPr>
        <w:t>The duration of the Easement is for [</w:t>
      </w:r>
      <w:r w:rsidR="00A05FAB" w:rsidRPr="00FC610D">
        <w:rPr>
          <w:rFonts w:ascii="Arial" w:hAnsi="Arial" w:cs="Arial"/>
          <w:b/>
          <w:w w:val="100"/>
          <w:sz w:val="20"/>
        </w:rPr>
        <w:t>number</w:t>
      </w:r>
      <w:r w:rsidR="00A05FAB">
        <w:rPr>
          <w:w w:val="100"/>
        </w:rPr>
        <w:t>] years beginning [</w:t>
      </w:r>
      <w:r w:rsidR="00A05FAB" w:rsidRPr="00FC610D">
        <w:rPr>
          <w:rFonts w:ascii="Arial" w:hAnsi="Arial" w:cs="Arial"/>
          <w:b/>
          <w:w w:val="100"/>
          <w:sz w:val="20"/>
        </w:rPr>
        <w:t>date</w:t>
      </w:r>
      <w:r w:rsidR="00A05FAB">
        <w:rPr>
          <w:w w:val="100"/>
        </w:rPr>
        <w:t>].]</w:t>
      </w:r>
    </w:p>
    <w:p w14:paraId="5E5D3A6B" w14:textId="77777777" w:rsidR="00967CA8" w:rsidRDefault="00967CA8">
      <w:pPr>
        <w:pStyle w:val="StepNumber"/>
        <w:rPr>
          <w:w w:val="100"/>
        </w:rPr>
      </w:pPr>
      <w:r>
        <w:rPr>
          <w:rStyle w:val="Italic"/>
          <w:i w:val="0"/>
          <w:iCs w:val="0"/>
          <w:w w:val="100"/>
        </w:rPr>
        <w:t>3.</w:t>
      </w:r>
      <w:r>
        <w:rPr>
          <w:rStyle w:val="Italic"/>
          <w:i w:val="0"/>
          <w:iCs w:val="0"/>
          <w:w w:val="100"/>
        </w:rPr>
        <w:tab/>
      </w:r>
      <w:r>
        <w:rPr>
          <w:rStyle w:val="Italic"/>
          <w:w w:val="100"/>
        </w:rPr>
        <w:t>Reservation of Rights</w:t>
      </w:r>
      <w:r>
        <w:rPr>
          <w:w w:val="100"/>
        </w:rPr>
        <w:t>.</w:t>
      </w:r>
      <w:r>
        <w:rPr>
          <w:w w:val="100"/>
        </w:rPr>
        <w:t> </w:t>
      </w:r>
      <w:r>
        <w:rPr>
          <w:w w:val="100"/>
        </w:rPr>
        <w:t>Grantor reserves for Grantor and Grantor’s heirs, successors, and assigns the right to continue to use and enjoy the surface of the Easement Property for all purposes that do not interfere with or interrupt the use or enjoyment of the Easement by Holder for the Easement Purposes. Grantor reserves for Grantor and Grantor’s heirs, successors, and assigns the right to use all or part of the Easement in conjunction with Holder and the right to convey to others the right to use all or part of the Easement in conjunction with Holder, as long as such further conveyance is subject to the terms of this agreement and the other users agree to bear a proportionate part of the costs of improving and maintaining the Easement.</w:t>
      </w:r>
    </w:p>
    <w:p w14:paraId="5E5D3A6C" w14:textId="77777777" w:rsidR="00967CA8" w:rsidRDefault="00967CA8">
      <w:pPr>
        <w:pStyle w:val="StepNumber"/>
        <w:rPr>
          <w:w w:val="100"/>
        </w:rPr>
      </w:pPr>
      <w:r>
        <w:rPr>
          <w:rStyle w:val="Italic"/>
          <w:i w:val="0"/>
          <w:iCs w:val="0"/>
          <w:w w:val="100"/>
        </w:rPr>
        <w:t>4.</w:t>
      </w:r>
      <w:r>
        <w:rPr>
          <w:rStyle w:val="Italic"/>
          <w:i w:val="0"/>
          <w:iCs w:val="0"/>
          <w:w w:val="100"/>
        </w:rPr>
        <w:tab/>
      </w:r>
      <w:r>
        <w:rPr>
          <w:rStyle w:val="Italic"/>
          <w:w w:val="100"/>
        </w:rPr>
        <w:t>Secondary Easement</w:t>
      </w:r>
      <w:r>
        <w:rPr>
          <w:w w:val="100"/>
        </w:rPr>
        <w:t>.</w:t>
      </w:r>
      <w:r>
        <w:rPr>
          <w:w w:val="100"/>
        </w:rPr>
        <w:t> </w:t>
      </w:r>
      <w:r>
        <w:rPr>
          <w:w w:val="100"/>
        </w:rPr>
        <w:t>Holder has the right (the “Secondary Easement”) to use as much of the surface of the property that is adjacent to the Easement Property (“Adjacent Property”) as may be reasonably necessary to install and maintain a road reasonably suited for the Easement Purpose within the Easement Property. However, Holder must promptly restore the Adjacent Property to its previous physical condition if changed by use of the rights granted by this Secondary Easement.</w:t>
      </w:r>
    </w:p>
    <w:p w14:paraId="5E5D3A6D" w14:textId="77777777" w:rsidR="00967CA8" w:rsidRDefault="00967CA8">
      <w:pPr>
        <w:pStyle w:val="StepNumber"/>
        <w:rPr>
          <w:w w:val="100"/>
        </w:rPr>
      </w:pPr>
      <w:r>
        <w:rPr>
          <w:rStyle w:val="Italic"/>
          <w:i w:val="0"/>
          <w:iCs w:val="0"/>
          <w:w w:val="100"/>
        </w:rPr>
        <w:t>5.</w:t>
      </w:r>
      <w:r>
        <w:rPr>
          <w:rStyle w:val="Italic"/>
          <w:i w:val="0"/>
          <w:iCs w:val="0"/>
          <w:w w:val="100"/>
        </w:rPr>
        <w:tab/>
      </w:r>
      <w:r>
        <w:rPr>
          <w:rStyle w:val="Italic"/>
          <w:w w:val="100"/>
        </w:rPr>
        <w:t>Improvement and Maintenance of Easement Property.</w:t>
      </w:r>
      <w:r>
        <w:rPr>
          <w:w w:val="100"/>
        </w:rPr>
        <w:t> </w:t>
      </w:r>
      <w:r>
        <w:rPr>
          <w:w w:val="100"/>
        </w:rPr>
        <w:t>Improvement and maintenance of the Easement Property will be at the sole expense of Holder. Holder has the right to eliminate any encroachments into the Easement Property. Holder must maintain the Easement Property in a neat and clean condition. Holder has the right to construct, install, maintain, replace, and remove a road with all culverts, bridges, drainage ditches, sewer facilities, and similar or related utilities and facilities under or across any portion of the Easement Property (collectively, the “Road Improvements”). All matters concerning the configuration, construction, installation, maintenance, replacement, and removal of the Road Improvements are at Holder’s sole discretion, subject to performance of Holder’s obligations under this agreement. Holder has the right to remove or relocate any fences within the Easement Property or along or near its boundary lines if reasonably necessary to construct, install, maintain, replace, or remove the Road Improvements or for the road to continue onto other lands or easements owned by Holder and adjacent to the Easement Property, subject to replacement of the fences to their original condition on the completion of the work. On written request by Holder, the owners of the Easement Property will execute or join in the execution of easements for sewer, drainage, or utility facilities under or across the Easement Property.</w:t>
      </w:r>
    </w:p>
    <w:p w14:paraId="5E5D3A6E" w14:textId="77777777" w:rsidR="00967CA8" w:rsidRDefault="00967CA8">
      <w:pPr>
        <w:pStyle w:val="StepNumber"/>
        <w:rPr>
          <w:w w:val="100"/>
        </w:rPr>
      </w:pPr>
      <w:r>
        <w:rPr>
          <w:rStyle w:val="Italic"/>
          <w:i w:val="0"/>
          <w:iCs w:val="0"/>
          <w:w w:val="100"/>
        </w:rPr>
        <w:t>6.</w:t>
      </w:r>
      <w:r>
        <w:rPr>
          <w:rStyle w:val="Italic"/>
          <w:i w:val="0"/>
          <w:iCs w:val="0"/>
          <w:w w:val="100"/>
        </w:rPr>
        <w:tab/>
      </w:r>
      <w:r>
        <w:rPr>
          <w:rStyle w:val="Italic"/>
          <w:w w:val="100"/>
        </w:rPr>
        <w:t>Equitable Rights of Enforcement.</w:t>
      </w:r>
      <w:r>
        <w:rPr>
          <w:w w:val="100"/>
        </w:rPr>
        <w:t> </w:t>
      </w:r>
      <w:r>
        <w:rPr>
          <w:w w:val="100"/>
        </w:rPr>
        <w:t>This Easement may be enforced by restraining orders and injunctions (temporary or permanent) prohibiting interference and commanding compliance. Restraining orders and injunctions will be obtainable on proof of the existence of interference or threatened interference, without the necessity of proof of inadequacy of legal remedies or irreparable harm, and will be obtainable only by the parties to or those benefited by this agreement; provided, however, that the act of obtaining an injunction or restraining order will not be deemed to be an election of remedies or a waiver of any other rights or remedies available at law or in equity.</w:t>
      </w:r>
    </w:p>
    <w:p w14:paraId="5E5D3A6F" w14:textId="77777777" w:rsidR="00967CA8" w:rsidRDefault="00967CA8">
      <w:pPr>
        <w:pStyle w:val="StepNumber"/>
        <w:rPr>
          <w:w w:val="100"/>
        </w:rPr>
      </w:pPr>
      <w:r>
        <w:rPr>
          <w:rStyle w:val="Italic"/>
          <w:i w:val="0"/>
          <w:iCs w:val="0"/>
          <w:w w:val="100"/>
        </w:rPr>
        <w:t>7.</w:t>
      </w:r>
      <w:r>
        <w:rPr>
          <w:rStyle w:val="Italic"/>
          <w:i w:val="0"/>
          <w:iCs w:val="0"/>
          <w:w w:val="100"/>
        </w:rPr>
        <w:tab/>
      </w:r>
      <w:r>
        <w:rPr>
          <w:rStyle w:val="Italic"/>
          <w:w w:val="100"/>
        </w:rPr>
        <w:t>Attorney’s Fees</w:t>
      </w:r>
      <w:r>
        <w:rPr>
          <w:w w:val="100"/>
        </w:rPr>
        <w:t>.</w:t>
      </w:r>
      <w:r>
        <w:rPr>
          <w:w w:val="100"/>
        </w:rPr>
        <w:t> </w:t>
      </w:r>
      <w:r>
        <w:rPr>
          <w:w w:val="100"/>
        </w:rPr>
        <w:t>If [either/any] party retains an attorney to enforce this agreement, the party prevailing in litigation is entitled to recover reasonable attorney’s fees and court and other costs.</w:t>
      </w:r>
    </w:p>
    <w:p w14:paraId="5E5D3A70" w14:textId="77777777" w:rsidR="00967CA8" w:rsidRDefault="00967CA8">
      <w:pPr>
        <w:pStyle w:val="StepNumber"/>
        <w:rPr>
          <w:w w:val="100"/>
        </w:rPr>
      </w:pPr>
      <w:r>
        <w:rPr>
          <w:rStyle w:val="Italic"/>
          <w:i w:val="0"/>
          <w:iCs w:val="0"/>
          <w:w w:val="100"/>
        </w:rPr>
        <w:t>8.</w:t>
      </w:r>
      <w:r>
        <w:rPr>
          <w:rStyle w:val="Italic"/>
          <w:i w:val="0"/>
          <w:iCs w:val="0"/>
          <w:w w:val="100"/>
        </w:rPr>
        <w:tab/>
      </w:r>
      <w:r>
        <w:rPr>
          <w:rStyle w:val="Italic"/>
          <w:w w:val="100"/>
        </w:rPr>
        <w:t>Binding Effect.</w:t>
      </w:r>
      <w:r>
        <w:rPr>
          <w:w w:val="100"/>
        </w:rPr>
        <w:t> </w:t>
      </w:r>
      <w:r>
        <w:rPr>
          <w:w w:val="100"/>
        </w:rPr>
        <w:t>This agreement binds</w:t>
      </w:r>
      <w:r w:rsidR="00A05FAB">
        <w:rPr>
          <w:w w:val="100"/>
        </w:rPr>
        <w:t>, benefits</w:t>
      </w:r>
      <w:r w:rsidR="00FC610D">
        <w:rPr>
          <w:w w:val="100"/>
        </w:rPr>
        <w:t>,</w:t>
      </w:r>
      <w:r>
        <w:rPr>
          <w:w w:val="100"/>
        </w:rPr>
        <w:t xml:space="preserve"> and </w:t>
      </w:r>
      <w:r w:rsidR="00A05FAB">
        <w:rPr>
          <w:w w:val="100"/>
        </w:rPr>
        <w:t>may be enforced by</w:t>
      </w:r>
      <w:r>
        <w:rPr>
          <w:w w:val="100"/>
        </w:rPr>
        <w:t xml:space="preserve"> the parties and their respective heirs, successors, and permitted assigns.</w:t>
      </w:r>
    </w:p>
    <w:p w14:paraId="5E5D3A71" w14:textId="77777777" w:rsidR="00967CA8" w:rsidRDefault="00967CA8">
      <w:pPr>
        <w:pStyle w:val="StepNumber"/>
        <w:rPr>
          <w:w w:val="100"/>
        </w:rPr>
      </w:pPr>
      <w:r>
        <w:rPr>
          <w:rStyle w:val="Italic"/>
          <w:i w:val="0"/>
          <w:iCs w:val="0"/>
          <w:w w:val="100"/>
        </w:rPr>
        <w:t>9.</w:t>
      </w:r>
      <w:r>
        <w:rPr>
          <w:rStyle w:val="Italic"/>
          <w:i w:val="0"/>
          <w:iCs w:val="0"/>
          <w:w w:val="100"/>
        </w:rPr>
        <w:tab/>
      </w:r>
      <w:r>
        <w:rPr>
          <w:rStyle w:val="Italic"/>
          <w:w w:val="100"/>
        </w:rPr>
        <w:t>Choice of Law.</w:t>
      </w:r>
      <w:r>
        <w:rPr>
          <w:w w:val="100"/>
        </w:rPr>
        <w:t> </w:t>
      </w:r>
      <w:r>
        <w:rPr>
          <w:w w:val="100"/>
        </w:rPr>
        <w:t>This agreement will be construed under the laws of the state of Texas, without regard to choice-of-law rules of any jurisdiction. Venue is in the county or counties in which the Easement Property is located.</w:t>
      </w:r>
    </w:p>
    <w:p w14:paraId="5E5D3A72" w14:textId="77777777" w:rsidR="00967CA8" w:rsidRDefault="00967CA8">
      <w:pPr>
        <w:pStyle w:val="StepNumber"/>
        <w:rPr>
          <w:w w:val="100"/>
        </w:rPr>
      </w:pPr>
      <w:r>
        <w:rPr>
          <w:rStyle w:val="Italic"/>
          <w:i w:val="0"/>
          <w:iCs w:val="0"/>
          <w:w w:val="100"/>
        </w:rPr>
        <w:t>10.</w:t>
      </w:r>
      <w:r>
        <w:rPr>
          <w:rStyle w:val="Italic"/>
          <w:i w:val="0"/>
          <w:iCs w:val="0"/>
          <w:w w:val="100"/>
        </w:rPr>
        <w:tab/>
      </w:r>
      <w:r>
        <w:rPr>
          <w:rStyle w:val="Italic"/>
          <w:w w:val="100"/>
        </w:rPr>
        <w:t>Counterparts.</w:t>
      </w:r>
      <w:r>
        <w:rPr>
          <w:w w:val="100"/>
        </w:rPr>
        <w:t> </w:t>
      </w:r>
      <w:r>
        <w:rPr>
          <w:w w:val="100"/>
        </w:rPr>
        <w:t xml:space="preserve">This agreement may be executed in </w:t>
      </w:r>
      <w:r w:rsidR="00A05FAB">
        <w:rPr>
          <w:w w:val="100"/>
        </w:rPr>
        <w:t>multiple</w:t>
      </w:r>
      <w:r>
        <w:rPr>
          <w:w w:val="100"/>
        </w:rPr>
        <w:t xml:space="preserve"> counterparts. All counterparts </w:t>
      </w:r>
      <w:r w:rsidR="00A05FAB">
        <w:rPr>
          <w:w w:val="100"/>
        </w:rPr>
        <w:t>taken together</w:t>
      </w:r>
      <w:r>
        <w:rPr>
          <w:w w:val="100"/>
        </w:rPr>
        <w:t xml:space="preserve"> constitute </w:t>
      </w:r>
      <w:r w:rsidR="00A05FAB">
        <w:rPr>
          <w:w w:val="100"/>
        </w:rPr>
        <w:t>this agreement</w:t>
      </w:r>
      <w:r>
        <w:rPr>
          <w:w w:val="100"/>
        </w:rPr>
        <w:t>.</w:t>
      </w:r>
    </w:p>
    <w:p w14:paraId="5E5D3A73" w14:textId="77777777" w:rsidR="00967CA8" w:rsidRDefault="00967CA8">
      <w:pPr>
        <w:pStyle w:val="StepNumber"/>
        <w:rPr>
          <w:w w:val="100"/>
        </w:rPr>
      </w:pPr>
      <w:r>
        <w:rPr>
          <w:rStyle w:val="Italic"/>
          <w:i w:val="0"/>
          <w:iCs w:val="0"/>
          <w:w w:val="100"/>
        </w:rPr>
        <w:t>11.</w:t>
      </w:r>
      <w:r>
        <w:rPr>
          <w:rStyle w:val="Italic"/>
          <w:i w:val="0"/>
          <w:iCs w:val="0"/>
          <w:w w:val="100"/>
        </w:rPr>
        <w:tab/>
      </w:r>
      <w:r>
        <w:rPr>
          <w:rStyle w:val="Italic"/>
          <w:w w:val="100"/>
        </w:rPr>
        <w:t>Waiver of Default.</w:t>
      </w:r>
      <w:r>
        <w:rPr>
          <w:w w:val="100"/>
        </w:rPr>
        <w:t> </w:t>
      </w:r>
      <w:r w:rsidR="00F93439">
        <w:rPr>
          <w:w w:val="100"/>
        </w:rPr>
        <w:t>A</w:t>
      </w:r>
      <w:r>
        <w:rPr>
          <w:w w:val="100"/>
        </w:rPr>
        <w:t xml:space="preserve"> default</w:t>
      </w:r>
      <w:r w:rsidR="00F93439">
        <w:rPr>
          <w:w w:val="100"/>
        </w:rPr>
        <w:t xml:space="preserve"> is not waived</w:t>
      </w:r>
      <w:r>
        <w:rPr>
          <w:w w:val="100"/>
        </w:rPr>
        <w:t xml:space="preserve"> if the nondefaulting par</w:t>
      </w:r>
      <w:r w:rsidR="00F93439">
        <w:rPr>
          <w:w w:val="100"/>
        </w:rPr>
        <w:t xml:space="preserve">ty fails to declare default immediately </w:t>
      </w:r>
      <w:r>
        <w:rPr>
          <w:w w:val="100"/>
        </w:rPr>
        <w:t>or delays in taking any action</w:t>
      </w:r>
      <w:r w:rsidR="00F93439">
        <w:rPr>
          <w:w w:val="100"/>
        </w:rPr>
        <w:t xml:space="preserve"> with respect to the default</w:t>
      </w:r>
      <w:r>
        <w:rPr>
          <w:w w:val="100"/>
        </w:rPr>
        <w:t>. Pursuit of any remedies set forth in this agreement does not preclude pursuit of other remedies in this agreement or provided by law.</w:t>
      </w:r>
    </w:p>
    <w:p w14:paraId="5E5D3A74" w14:textId="77777777" w:rsidR="00967CA8" w:rsidRDefault="00967CA8">
      <w:pPr>
        <w:pStyle w:val="StepNumber"/>
        <w:rPr>
          <w:w w:val="100"/>
        </w:rPr>
      </w:pPr>
      <w:r>
        <w:rPr>
          <w:rStyle w:val="Italic"/>
          <w:i w:val="0"/>
          <w:iCs w:val="0"/>
          <w:w w:val="100"/>
        </w:rPr>
        <w:t>12.</w:t>
      </w:r>
      <w:r>
        <w:rPr>
          <w:rStyle w:val="Italic"/>
          <w:i w:val="0"/>
          <w:iCs w:val="0"/>
          <w:w w:val="100"/>
        </w:rPr>
        <w:tab/>
      </w:r>
      <w:r>
        <w:rPr>
          <w:rStyle w:val="Italic"/>
          <w:w w:val="100"/>
        </w:rPr>
        <w:t>Further Assurances.</w:t>
      </w:r>
      <w:r>
        <w:rPr>
          <w:w w:val="100"/>
        </w:rPr>
        <w:t> </w:t>
      </w:r>
      <w:r>
        <w:rPr>
          <w:w w:val="100"/>
        </w:rPr>
        <w:t>Each signatory party agrees to execute and deliver any additional documents and instruments and to perform any additional acts necessary or appropriate to perform the terms, provisions, and conditions of this agreement and all transactions contemplated by this agreement.</w:t>
      </w:r>
    </w:p>
    <w:p w14:paraId="5E5D3A75" w14:textId="77777777" w:rsidR="00967CA8" w:rsidRDefault="00967CA8">
      <w:pPr>
        <w:pStyle w:val="StepNumber"/>
        <w:rPr>
          <w:w w:val="100"/>
        </w:rPr>
      </w:pPr>
      <w:r>
        <w:rPr>
          <w:rStyle w:val="Italic"/>
          <w:i w:val="0"/>
          <w:iCs w:val="0"/>
          <w:w w:val="100"/>
        </w:rPr>
        <w:t>13.</w:t>
      </w:r>
      <w:r>
        <w:rPr>
          <w:rStyle w:val="Italic"/>
          <w:i w:val="0"/>
          <w:iCs w:val="0"/>
          <w:w w:val="100"/>
        </w:rPr>
        <w:tab/>
      </w:r>
      <w:r>
        <w:rPr>
          <w:rStyle w:val="Italic"/>
          <w:w w:val="100"/>
        </w:rPr>
        <w:t>Indemnity.</w:t>
      </w:r>
      <w:r>
        <w:rPr>
          <w:w w:val="100"/>
        </w:rPr>
        <w:t> </w:t>
      </w:r>
      <w:r>
        <w:rPr>
          <w:w w:val="100"/>
        </w:rPr>
        <w:t>Each party agrees to indemnify, defend, and hold harmless the other party from any loss, attorney’s fees, expenses, or claims attributable to breach or default of any provision of this agreement by the indemnifying party.</w:t>
      </w:r>
      <w:r w:rsidR="00F93439">
        <w:rPr>
          <w:w w:val="100"/>
        </w:rPr>
        <w:t xml:space="preserve"> The obligations of the parties under this provision will survive termination of this agreement.</w:t>
      </w:r>
    </w:p>
    <w:p w14:paraId="5E5D3A76" w14:textId="77777777" w:rsidR="00F93439" w:rsidRDefault="00F93439" w:rsidP="00F93439">
      <w:pPr>
        <w:pStyle w:val="StepNumber"/>
        <w:rPr>
          <w:rStyle w:val="Italic"/>
          <w:i w:val="0"/>
          <w:iCs w:val="0"/>
          <w:w w:val="100"/>
        </w:rPr>
      </w:pPr>
      <w:r>
        <w:rPr>
          <w:rStyle w:val="Italic"/>
          <w:i w:val="0"/>
          <w:iCs w:val="0"/>
          <w:w w:val="100"/>
        </w:rPr>
        <w:t>14.</w:t>
      </w:r>
      <w:r>
        <w:rPr>
          <w:rStyle w:val="Italic"/>
          <w:i w:val="0"/>
          <w:iCs w:val="0"/>
          <w:w w:val="100"/>
        </w:rPr>
        <w:tab/>
      </w:r>
      <w:r>
        <w:rPr>
          <w:rStyle w:val="Italic"/>
          <w:w w:val="100"/>
        </w:rPr>
        <w:t>Survival</w:t>
      </w:r>
      <w:r>
        <w:rPr>
          <w:w w:val="100"/>
        </w:rPr>
        <w:t>.</w:t>
      </w:r>
      <w:r>
        <w:rPr>
          <w:w w:val="100"/>
        </w:rPr>
        <w:t> </w:t>
      </w:r>
      <w:r w:rsidRPr="00375BF1">
        <w:t xml:space="preserve"> </w:t>
      </w:r>
      <w:r>
        <w:rPr>
          <w:w w:val="100"/>
        </w:rPr>
        <w:t>The obligations of the parties in this agreement that cannot be or were not performed before termination of this agreement survive termination of this agreement.</w:t>
      </w:r>
    </w:p>
    <w:p w14:paraId="5E5D3A77" w14:textId="77777777" w:rsidR="00967CA8" w:rsidRDefault="00F93439">
      <w:pPr>
        <w:pStyle w:val="StepNumber"/>
        <w:rPr>
          <w:w w:val="100"/>
        </w:rPr>
      </w:pPr>
      <w:r>
        <w:rPr>
          <w:rStyle w:val="Italic"/>
          <w:i w:val="0"/>
          <w:iCs w:val="0"/>
          <w:w w:val="100"/>
        </w:rPr>
        <w:t>15</w:t>
      </w:r>
      <w:r w:rsidR="00967CA8">
        <w:rPr>
          <w:rStyle w:val="Italic"/>
          <w:i w:val="0"/>
          <w:iCs w:val="0"/>
          <w:w w:val="100"/>
        </w:rPr>
        <w:t>.</w:t>
      </w:r>
      <w:r w:rsidR="00967CA8">
        <w:rPr>
          <w:rStyle w:val="Italic"/>
          <w:i w:val="0"/>
          <w:iCs w:val="0"/>
          <w:w w:val="100"/>
        </w:rPr>
        <w:tab/>
      </w:r>
      <w:r w:rsidR="00967CA8">
        <w:rPr>
          <w:rStyle w:val="Italic"/>
          <w:w w:val="100"/>
        </w:rPr>
        <w:t>Entire Agreement</w:t>
      </w:r>
      <w:r w:rsidR="00967CA8">
        <w:rPr>
          <w:w w:val="100"/>
        </w:rPr>
        <w:t>.</w:t>
      </w:r>
      <w:r w:rsidR="00967CA8">
        <w:rPr>
          <w:w w:val="100"/>
        </w:rPr>
        <w:t> </w:t>
      </w:r>
      <w:r w:rsidR="00375BF1" w:rsidRPr="00375BF1">
        <w:t xml:space="preserve"> </w:t>
      </w:r>
      <w:r w:rsidR="00375BF1" w:rsidRPr="00375BF1">
        <w:rPr>
          <w:w w:val="100"/>
        </w:rPr>
        <w:t xml:space="preserve">This agreement and any exhibits are the entire agreement of the parties concerning the </w:t>
      </w:r>
      <w:r>
        <w:rPr>
          <w:w w:val="100"/>
        </w:rPr>
        <w:t>Easement Property</w:t>
      </w:r>
      <w:r w:rsidR="00375BF1" w:rsidRPr="00375BF1">
        <w:rPr>
          <w:w w:val="100"/>
        </w:rPr>
        <w:t xml:space="preserve"> and the grant of the Easement by Grantor to Grantee. There are no representations, agreements, warranties, or promises, and neither party is relying on any statements or representations of </w:t>
      </w:r>
      <w:r>
        <w:rPr>
          <w:w w:val="100"/>
        </w:rPr>
        <w:t xml:space="preserve">the other party or </w:t>
      </w:r>
      <w:r w:rsidR="00375BF1" w:rsidRPr="00375BF1">
        <w:rPr>
          <w:w w:val="100"/>
        </w:rPr>
        <w:t>any agent of the other party, that are not in this agreement and any exhibits</w:t>
      </w:r>
      <w:r w:rsidR="00967CA8">
        <w:rPr>
          <w:w w:val="100"/>
        </w:rPr>
        <w:t>.</w:t>
      </w:r>
    </w:p>
    <w:p w14:paraId="5E5D3A78" w14:textId="77777777" w:rsidR="00967CA8" w:rsidRDefault="00F93439">
      <w:pPr>
        <w:pStyle w:val="StepNumber"/>
        <w:rPr>
          <w:w w:val="100"/>
        </w:rPr>
      </w:pPr>
      <w:r>
        <w:rPr>
          <w:rStyle w:val="Italic"/>
          <w:i w:val="0"/>
          <w:iCs w:val="0"/>
          <w:w w:val="100"/>
        </w:rPr>
        <w:t>16</w:t>
      </w:r>
      <w:r w:rsidR="00967CA8">
        <w:rPr>
          <w:rStyle w:val="Italic"/>
          <w:i w:val="0"/>
          <w:iCs w:val="0"/>
          <w:w w:val="100"/>
        </w:rPr>
        <w:t>.</w:t>
      </w:r>
      <w:r w:rsidR="00967CA8">
        <w:rPr>
          <w:rStyle w:val="Italic"/>
          <w:i w:val="0"/>
          <w:iCs w:val="0"/>
          <w:w w:val="100"/>
        </w:rPr>
        <w:tab/>
      </w:r>
      <w:r w:rsidR="00967CA8">
        <w:rPr>
          <w:rStyle w:val="Italic"/>
          <w:w w:val="100"/>
        </w:rPr>
        <w:t>Legal Construction.</w:t>
      </w:r>
      <w:r w:rsidR="00967CA8">
        <w:rPr>
          <w:w w:val="100"/>
        </w:rPr>
        <w:t> </w:t>
      </w:r>
      <w:r w:rsidR="00967CA8">
        <w:rPr>
          <w:w w:val="100"/>
        </w:rPr>
        <w:t>If any</w:t>
      </w:r>
      <w:r>
        <w:rPr>
          <w:w w:val="100"/>
        </w:rPr>
        <w:t xml:space="preserve"> provision in this agreement is </w:t>
      </w:r>
      <w:r w:rsidR="00967CA8">
        <w:rPr>
          <w:w w:val="100"/>
        </w:rPr>
        <w:t>unenforceable, to the extent the unenforceability does not destroy the basis of the bargain among the parties, the unenforceability will not affect any other provision hereof, and this agreement will be construed as if the unenforceable provision had never been a part of the agreement. Whenever context requires, the singular will include the plural and neuter include the masculine or feminine gender, and vice versa</w:t>
      </w:r>
      <w:r>
        <w:rPr>
          <w:w w:val="100"/>
        </w:rPr>
        <w:t>.</w:t>
      </w:r>
      <w:r w:rsidR="00967CA8">
        <w:rPr>
          <w:w w:val="100"/>
        </w:rPr>
        <w:t xml:space="preserve"> This agreement will not be construed more or less favorably between the parties by reason of authorship or origin of language.</w:t>
      </w:r>
    </w:p>
    <w:p w14:paraId="5E5D3A79" w14:textId="7B0E5AE3" w:rsidR="00967CA8" w:rsidRDefault="00F93439">
      <w:pPr>
        <w:pStyle w:val="StepNumber"/>
        <w:rPr>
          <w:w w:val="100"/>
        </w:rPr>
      </w:pPr>
      <w:r>
        <w:rPr>
          <w:rStyle w:val="Italic"/>
          <w:i w:val="0"/>
          <w:iCs w:val="0"/>
          <w:w w:val="100"/>
        </w:rPr>
        <w:t>17</w:t>
      </w:r>
      <w:r w:rsidR="00967CA8">
        <w:rPr>
          <w:rStyle w:val="Italic"/>
          <w:i w:val="0"/>
          <w:iCs w:val="0"/>
          <w:w w:val="100"/>
        </w:rPr>
        <w:t>.</w:t>
      </w:r>
      <w:r w:rsidR="00967CA8">
        <w:rPr>
          <w:rStyle w:val="Italic"/>
          <w:i w:val="0"/>
          <w:iCs w:val="0"/>
          <w:w w:val="100"/>
        </w:rPr>
        <w:tab/>
      </w:r>
      <w:r w:rsidR="00967CA8">
        <w:rPr>
          <w:rStyle w:val="Italic"/>
          <w:w w:val="100"/>
        </w:rPr>
        <w:t>Notices.</w:t>
      </w:r>
      <w:r w:rsidR="00967CA8">
        <w:rPr>
          <w:w w:val="100"/>
        </w:rPr>
        <w:t> </w:t>
      </w:r>
      <w:r w:rsidR="00967CA8">
        <w:rPr>
          <w:w w:val="100"/>
        </w:rPr>
        <w:t xml:space="preserve">Any notice required or permitted under this agreement must be in writing. Any notice required by this agreement will be deemed to be </w:t>
      </w:r>
      <w:r w:rsidR="00397822">
        <w:rPr>
          <w:w w:val="100"/>
        </w:rPr>
        <w:t>given</w:t>
      </w:r>
      <w:r w:rsidR="00967CA8">
        <w:rPr>
          <w:w w:val="100"/>
        </w:rPr>
        <w:t xml:space="preserve"> (whether</w:t>
      </w:r>
      <w:r w:rsidR="00397822">
        <w:rPr>
          <w:w w:val="100"/>
        </w:rPr>
        <w:t xml:space="preserve"> received or not) the earlier of receipt or three business days after being</w:t>
      </w:r>
      <w:r w:rsidR="00967CA8">
        <w:rPr>
          <w:w w:val="100"/>
        </w:rPr>
        <w:t xml:space="preserve"> deposited with the United States Postal Service, postage prepaid, certified mail, return receipt requested, and addressed to the intended recipient at the address shown in this agreement. Notice may also be given by regular mail, personal delivery, courier delivery, </w:t>
      </w:r>
      <w:r w:rsidR="00397822">
        <w:rPr>
          <w:w w:val="100"/>
        </w:rPr>
        <w:t>or email</w:t>
      </w:r>
      <w:r w:rsidR="00967CA8">
        <w:rPr>
          <w:w w:val="100"/>
        </w:rPr>
        <w:t xml:space="preserve"> and</w:t>
      </w:r>
      <w:r w:rsidR="00397822">
        <w:rPr>
          <w:w w:val="100"/>
        </w:rPr>
        <w:t xml:space="preserve"> will be effective when</w:t>
      </w:r>
      <w:r w:rsidR="00967CA8">
        <w:rPr>
          <w:w w:val="100"/>
        </w:rPr>
        <w:t xml:space="preserve"> received. Any address for notice may be cha</w:t>
      </w:r>
      <w:r w:rsidR="00397822">
        <w:rPr>
          <w:w w:val="100"/>
        </w:rPr>
        <w:t>nged by written notice given</w:t>
      </w:r>
      <w:r w:rsidR="00967CA8">
        <w:rPr>
          <w:w w:val="100"/>
        </w:rPr>
        <w:t xml:space="preserve"> as provided herein.</w:t>
      </w:r>
    </w:p>
    <w:p w14:paraId="5E5D3A7A" w14:textId="77777777" w:rsidR="00967CA8" w:rsidRDefault="00967CA8">
      <w:pPr>
        <w:pStyle w:val="SignBlock"/>
      </w:pPr>
      <w:r>
        <w:tab/>
      </w:r>
    </w:p>
    <w:p w14:paraId="5E5D3A7B" w14:textId="77777777" w:rsidR="00967CA8" w:rsidRDefault="00967CA8">
      <w:pPr>
        <w:pStyle w:val="SignItemLast"/>
      </w:pPr>
      <w:r>
        <w:t>[</w:t>
      </w:r>
      <w:r>
        <w:rPr>
          <w:rStyle w:val="Substitute"/>
        </w:rPr>
        <w:t>Name of grantor</w:t>
      </w:r>
      <w:r>
        <w:t>]</w:t>
      </w:r>
    </w:p>
    <w:p w14:paraId="5E5D3A7C" w14:textId="77777777" w:rsidR="00967CA8" w:rsidRDefault="00967CA8">
      <w:pPr>
        <w:pStyle w:val="SignBlock"/>
      </w:pPr>
      <w:r>
        <w:tab/>
      </w:r>
    </w:p>
    <w:p w14:paraId="5E5D3A7D" w14:textId="77777777" w:rsidR="00967CA8" w:rsidRDefault="00967CA8">
      <w:pPr>
        <w:pStyle w:val="SignItemLast"/>
      </w:pPr>
      <w:r>
        <w:t>[</w:t>
      </w:r>
      <w:r>
        <w:rPr>
          <w:rStyle w:val="Substitute"/>
        </w:rPr>
        <w:t>Name of grantee</w:t>
      </w:r>
      <w:r>
        <w:t>]</w:t>
      </w:r>
    </w:p>
    <w:p w14:paraId="5E5D3A7E" w14:textId="77777777" w:rsidR="00967CA8" w:rsidRDefault="00967CA8" w:rsidP="00B86ADE">
      <w:pPr>
        <w:pStyle w:val="UserInstructioncenterhidden"/>
        <w:ind w:left="3240" w:right="3240"/>
      </w:pPr>
      <w:r>
        <w:t>Include acknowledgments.</w:t>
      </w:r>
    </w:p>
    <w:p w14:paraId="5E5D3A7F" w14:textId="77777777" w:rsidR="00967CA8" w:rsidRDefault="00967CA8" w:rsidP="00967CA8">
      <w:pPr>
        <w:pStyle w:val="UserInstructioncenterhidden"/>
      </w:pPr>
      <w:r>
        <w:t>Include the following if applicable.</w:t>
      </w:r>
    </w:p>
    <w:p w14:paraId="5E5D3A80" w14:textId="77777777" w:rsidR="00967CA8" w:rsidRDefault="00967CA8">
      <w:pPr>
        <w:pStyle w:val="Heading"/>
        <w:jc w:val="center"/>
        <w:rPr>
          <w:w w:val="100"/>
        </w:rPr>
      </w:pPr>
      <w:r>
        <w:rPr>
          <w:w w:val="100"/>
        </w:rPr>
        <w:t>Consent and Subordination by Lienholder</w:t>
      </w:r>
    </w:p>
    <w:p w14:paraId="5E5D3A81" w14:textId="77777777" w:rsidR="00967CA8" w:rsidRDefault="00967CA8">
      <w:pPr>
        <w:pStyle w:val="Para"/>
        <w:rPr>
          <w:w w:val="100"/>
        </w:rPr>
      </w:pPr>
      <w:r>
        <w:rPr>
          <w:w w:val="100"/>
        </w:rPr>
        <w:t>Lienholder, as the holder of [a] lien[s] on the Easement Property, consents to the above grant of an Easement, including the terms and conditions of the grant, and Lienholder subordinates its lien[s] to the rights and interests of Holder, so that a foreclosure of the lien[s] will not extinguish the rights and interests of Holder.</w:t>
      </w:r>
    </w:p>
    <w:p w14:paraId="5E5D3A82" w14:textId="77777777" w:rsidR="00967CA8" w:rsidRDefault="00967CA8">
      <w:pPr>
        <w:pStyle w:val="SignBlock"/>
      </w:pPr>
      <w:r>
        <w:tab/>
      </w:r>
    </w:p>
    <w:p w14:paraId="5E5D3A83" w14:textId="77777777" w:rsidR="00967CA8" w:rsidRDefault="00967CA8">
      <w:pPr>
        <w:pStyle w:val="SignItemLast"/>
      </w:pPr>
      <w:r>
        <w:t>[</w:t>
      </w:r>
      <w:r>
        <w:rPr>
          <w:rStyle w:val="Substitute"/>
        </w:rPr>
        <w:t>Name of lienholder</w:t>
      </w:r>
      <w:r>
        <w:t>]</w:t>
      </w:r>
    </w:p>
    <w:p w14:paraId="5E5D3A84" w14:textId="77777777" w:rsidR="00967CA8" w:rsidRDefault="00967CA8" w:rsidP="00967CA8">
      <w:pPr>
        <w:pStyle w:val="UserInstructioncenterhidden"/>
      </w:pPr>
      <w:r>
        <w:t>Include acknowledgment.</w:t>
      </w:r>
    </w:p>
    <w:p w14:paraId="5E5D3A85" w14:textId="77777777" w:rsidR="002C211D" w:rsidRDefault="002C211D" w:rsidP="00937698"/>
    <w:sectPr w:rsidR="002C211D" w:rsidSect="00967CA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D3A88" w14:textId="77777777" w:rsidR="00D241F6" w:rsidRDefault="00D241F6">
      <w:r>
        <w:separator/>
      </w:r>
    </w:p>
  </w:endnote>
  <w:endnote w:type="continuationSeparator" w:id="0">
    <w:p w14:paraId="5E5D3A89" w14:textId="77777777" w:rsidR="00D241F6" w:rsidRDefault="00D24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3A8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D3A86" w14:textId="77777777" w:rsidR="00D241F6" w:rsidRDefault="00D241F6">
      <w:r>
        <w:separator/>
      </w:r>
    </w:p>
  </w:footnote>
  <w:footnote w:type="continuationSeparator" w:id="0">
    <w:p w14:paraId="5E5D3A87" w14:textId="77777777" w:rsidR="00D241F6" w:rsidRDefault="00D241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3A8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147478">
    <w:abstractNumId w:val="8"/>
  </w:num>
  <w:num w:numId="2" w16cid:durableId="1686591204">
    <w:abstractNumId w:val="8"/>
  </w:num>
  <w:num w:numId="3" w16cid:durableId="113839119">
    <w:abstractNumId w:val="3"/>
  </w:num>
  <w:num w:numId="4" w16cid:durableId="846942759">
    <w:abstractNumId w:val="3"/>
  </w:num>
  <w:num w:numId="5" w16cid:durableId="1571427129">
    <w:abstractNumId w:val="9"/>
  </w:num>
  <w:num w:numId="6" w16cid:durableId="575437562">
    <w:abstractNumId w:val="9"/>
  </w:num>
  <w:num w:numId="7" w16cid:durableId="1759978451">
    <w:abstractNumId w:val="7"/>
  </w:num>
  <w:num w:numId="8" w16cid:durableId="2004159238">
    <w:abstractNumId w:val="7"/>
  </w:num>
  <w:num w:numId="9" w16cid:durableId="881751012">
    <w:abstractNumId w:val="12"/>
  </w:num>
  <w:num w:numId="10" w16cid:durableId="862668097">
    <w:abstractNumId w:val="14"/>
  </w:num>
  <w:num w:numId="11" w16cid:durableId="195244097">
    <w:abstractNumId w:val="8"/>
  </w:num>
  <w:num w:numId="12" w16cid:durableId="1543785288">
    <w:abstractNumId w:val="3"/>
  </w:num>
  <w:num w:numId="13" w16cid:durableId="949357853">
    <w:abstractNumId w:val="9"/>
  </w:num>
  <w:num w:numId="14" w16cid:durableId="279384081">
    <w:abstractNumId w:val="7"/>
  </w:num>
  <w:num w:numId="15" w16cid:durableId="290332724">
    <w:abstractNumId w:val="6"/>
  </w:num>
  <w:num w:numId="16" w16cid:durableId="907570929">
    <w:abstractNumId w:val="5"/>
  </w:num>
  <w:num w:numId="17" w16cid:durableId="1285500464">
    <w:abstractNumId w:val="4"/>
  </w:num>
  <w:num w:numId="18" w16cid:durableId="1271939355">
    <w:abstractNumId w:val="2"/>
  </w:num>
  <w:num w:numId="19" w16cid:durableId="182208697">
    <w:abstractNumId w:val="1"/>
  </w:num>
  <w:num w:numId="20" w16cid:durableId="1485312584">
    <w:abstractNumId w:val="0"/>
  </w:num>
  <w:num w:numId="21" w16cid:durableId="998536264">
    <w:abstractNumId w:val="10"/>
  </w:num>
  <w:num w:numId="22" w16cid:durableId="1633710136">
    <w:abstractNumId w:val="11"/>
  </w:num>
  <w:num w:numId="23" w16cid:durableId="1438143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22.docx"/>
    <w:docVar w:name="TBBStampDate" w:val="07-22-2025"/>
    <w:docVar w:name="TBBVer" w:val="docx"/>
    <w:docVar w:name="TBBYear" w:val="2025"/>
  </w:docVars>
  <w:rsids>
    <w:rsidRoot w:val="00883698"/>
    <w:rsid w:val="00006704"/>
    <w:rsid w:val="00020788"/>
    <w:rsid w:val="00035105"/>
    <w:rsid w:val="00055419"/>
    <w:rsid w:val="00075517"/>
    <w:rsid w:val="000A1D6E"/>
    <w:rsid w:val="000A5288"/>
    <w:rsid w:val="000A6DC7"/>
    <w:rsid w:val="000B0F31"/>
    <w:rsid w:val="000B259E"/>
    <w:rsid w:val="000D0833"/>
    <w:rsid w:val="000D5936"/>
    <w:rsid w:val="0010171A"/>
    <w:rsid w:val="00103258"/>
    <w:rsid w:val="00124EC7"/>
    <w:rsid w:val="001357DF"/>
    <w:rsid w:val="00167635"/>
    <w:rsid w:val="00187940"/>
    <w:rsid w:val="001B4977"/>
    <w:rsid w:val="001C7034"/>
    <w:rsid w:val="001D113B"/>
    <w:rsid w:val="001E5D18"/>
    <w:rsid w:val="001E7EFC"/>
    <w:rsid w:val="00212AD4"/>
    <w:rsid w:val="00220537"/>
    <w:rsid w:val="00221D27"/>
    <w:rsid w:val="002733D1"/>
    <w:rsid w:val="002C1959"/>
    <w:rsid w:val="002C211D"/>
    <w:rsid w:val="002C3E97"/>
    <w:rsid w:val="002C456D"/>
    <w:rsid w:val="002D4648"/>
    <w:rsid w:val="002D4815"/>
    <w:rsid w:val="002F1892"/>
    <w:rsid w:val="002F4B1D"/>
    <w:rsid w:val="00300E00"/>
    <w:rsid w:val="00302CD1"/>
    <w:rsid w:val="003119E6"/>
    <w:rsid w:val="00320622"/>
    <w:rsid w:val="00363D9D"/>
    <w:rsid w:val="00375BF1"/>
    <w:rsid w:val="00382C39"/>
    <w:rsid w:val="00383F4A"/>
    <w:rsid w:val="00385003"/>
    <w:rsid w:val="003864FA"/>
    <w:rsid w:val="00386B7C"/>
    <w:rsid w:val="0039278E"/>
    <w:rsid w:val="00397006"/>
    <w:rsid w:val="00397661"/>
    <w:rsid w:val="00397822"/>
    <w:rsid w:val="003C0B1C"/>
    <w:rsid w:val="003C68C3"/>
    <w:rsid w:val="003D7347"/>
    <w:rsid w:val="003E1B11"/>
    <w:rsid w:val="00417CAA"/>
    <w:rsid w:val="004217A3"/>
    <w:rsid w:val="0046632A"/>
    <w:rsid w:val="00481F0D"/>
    <w:rsid w:val="004A1988"/>
    <w:rsid w:val="004C7340"/>
    <w:rsid w:val="004D5E8E"/>
    <w:rsid w:val="004D7E2D"/>
    <w:rsid w:val="004E343B"/>
    <w:rsid w:val="004F6E30"/>
    <w:rsid w:val="005038A4"/>
    <w:rsid w:val="005140F1"/>
    <w:rsid w:val="0054029D"/>
    <w:rsid w:val="005508CB"/>
    <w:rsid w:val="00551332"/>
    <w:rsid w:val="00562AB8"/>
    <w:rsid w:val="0056511D"/>
    <w:rsid w:val="005671F4"/>
    <w:rsid w:val="00570333"/>
    <w:rsid w:val="00574113"/>
    <w:rsid w:val="00582F0A"/>
    <w:rsid w:val="005906DA"/>
    <w:rsid w:val="005967D5"/>
    <w:rsid w:val="005974AA"/>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80A65"/>
    <w:rsid w:val="007843BD"/>
    <w:rsid w:val="00794405"/>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23B6F"/>
    <w:rsid w:val="00824937"/>
    <w:rsid w:val="00832078"/>
    <w:rsid w:val="008575EE"/>
    <w:rsid w:val="00877F53"/>
    <w:rsid w:val="00883698"/>
    <w:rsid w:val="008B3F1F"/>
    <w:rsid w:val="008B531D"/>
    <w:rsid w:val="008D3F7D"/>
    <w:rsid w:val="008D602D"/>
    <w:rsid w:val="008F41A5"/>
    <w:rsid w:val="00903348"/>
    <w:rsid w:val="00937698"/>
    <w:rsid w:val="009518AF"/>
    <w:rsid w:val="00965A52"/>
    <w:rsid w:val="00967CA8"/>
    <w:rsid w:val="00986BE4"/>
    <w:rsid w:val="009A2FE8"/>
    <w:rsid w:val="009A7C45"/>
    <w:rsid w:val="009C6567"/>
    <w:rsid w:val="009D367E"/>
    <w:rsid w:val="009F1B69"/>
    <w:rsid w:val="00A026BD"/>
    <w:rsid w:val="00A0583D"/>
    <w:rsid w:val="00A05FAB"/>
    <w:rsid w:val="00A156B5"/>
    <w:rsid w:val="00AA74A2"/>
    <w:rsid w:val="00AB3BCD"/>
    <w:rsid w:val="00AE05F0"/>
    <w:rsid w:val="00AE61F5"/>
    <w:rsid w:val="00B12519"/>
    <w:rsid w:val="00B157A8"/>
    <w:rsid w:val="00B15C0D"/>
    <w:rsid w:val="00B17021"/>
    <w:rsid w:val="00B53927"/>
    <w:rsid w:val="00B65E97"/>
    <w:rsid w:val="00B83512"/>
    <w:rsid w:val="00B86ADE"/>
    <w:rsid w:val="00B946D8"/>
    <w:rsid w:val="00BA13C4"/>
    <w:rsid w:val="00BE2E17"/>
    <w:rsid w:val="00C04F3D"/>
    <w:rsid w:val="00C1069F"/>
    <w:rsid w:val="00C10D1B"/>
    <w:rsid w:val="00C16AEA"/>
    <w:rsid w:val="00C223B3"/>
    <w:rsid w:val="00C31867"/>
    <w:rsid w:val="00C43F53"/>
    <w:rsid w:val="00C445FE"/>
    <w:rsid w:val="00C45188"/>
    <w:rsid w:val="00C53FF7"/>
    <w:rsid w:val="00C57E06"/>
    <w:rsid w:val="00C80DDD"/>
    <w:rsid w:val="00CA5BD5"/>
    <w:rsid w:val="00CB155D"/>
    <w:rsid w:val="00CC5C2E"/>
    <w:rsid w:val="00CD150A"/>
    <w:rsid w:val="00CD2379"/>
    <w:rsid w:val="00CF7073"/>
    <w:rsid w:val="00D03F41"/>
    <w:rsid w:val="00D241F6"/>
    <w:rsid w:val="00D24C09"/>
    <w:rsid w:val="00D25F76"/>
    <w:rsid w:val="00D2766B"/>
    <w:rsid w:val="00D35A20"/>
    <w:rsid w:val="00D47494"/>
    <w:rsid w:val="00D562D6"/>
    <w:rsid w:val="00D740F5"/>
    <w:rsid w:val="00D93A2E"/>
    <w:rsid w:val="00D94635"/>
    <w:rsid w:val="00D957EF"/>
    <w:rsid w:val="00D96D86"/>
    <w:rsid w:val="00DA05D8"/>
    <w:rsid w:val="00DB22E2"/>
    <w:rsid w:val="00DB48F2"/>
    <w:rsid w:val="00DC4601"/>
    <w:rsid w:val="00DC572B"/>
    <w:rsid w:val="00DF64BF"/>
    <w:rsid w:val="00E06CD9"/>
    <w:rsid w:val="00E14403"/>
    <w:rsid w:val="00E17361"/>
    <w:rsid w:val="00E7012A"/>
    <w:rsid w:val="00E8508F"/>
    <w:rsid w:val="00E85581"/>
    <w:rsid w:val="00E90259"/>
    <w:rsid w:val="00E91C13"/>
    <w:rsid w:val="00E95688"/>
    <w:rsid w:val="00EA5D89"/>
    <w:rsid w:val="00EB256F"/>
    <w:rsid w:val="00EF0713"/>
    <w:rsid w:val="00EF3BC1"/>
    <w:rsid w:val="00F1261B"/>
    <w:rsid w:val="00F22B3D"/>
    <w:rsid w:val="00F52E77"/>
    <w:rsid w:val="00F6777D"/>
    <w:rsid w:val="00F72310"/>
    <w:rsid w:val="00F75F04"/>
    <w:rsid w:val="00F93439"/>
    <w:rsid w:val="00F94ACB"/>
    <w:rsid w:val="00FB2C0D"/>
    <w:rsid w:val="00FC610D"/>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5D3A56"/>
  <w15:chartTrackingRefBased/>
  <w15:docId w15:val="{8CADEB2E-3ABE-4158-9503-9A020B805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67CA8"/>
    <w:rPr>
      <w:sz w:val="24"/>
      <w:szCs w:val="24"/>
    </w:rPr>
  </w:style>
  <w:style w:type="paragraph" w:styleId="Heading1">
    <w:name w:val="heading 1"/>
    <w:basedOn w:val="Normal"/>
    <w:next w:val="Normal"/>
    <w:uiPriority w:val="1"/>
    <w:qFormat/>
    <w:rsid w:val="00967CA8"/>
    <w:pPr>
      <w:keepNext/>
      <w:spacing w:before="240" w:after="60"/>
      <w:outlineLvl w:val="0"/>
    </w:pPr>
    <w:rPr>
      <w:b/>
      <w:bCs/>
      <w:kern w:val="32"/>
      <w:szCs w:val="32"/>
    </w:rPr>
  </w:style>
  <w:style w:type="paragraph" w:styleId="Heading2">
    <w:name w:val="heading 2"/>
    <w:basedOn w:val="Normal"/>
    <w:next w:val="Normal"/>
    <w:uiPriority w:val="1"/>
    <w:qFormat/>
    <w:rsid w:val="00967CA8"/>
    <w:pPr>
      <w:keepNext/>
      <w:spacing w:before="240" w:after="60"/>
      <w:outlineLvl w:val="1"/>
    </w:pPr>
    <w:rPr>
      <w:b/>
      <w:bCs/>
      <w:iCs/>
      <w:szCs w:val="28"/>
    </w:rPr>
  </w:style>
  <w:style w:type="paragraph" w:styleId="Heading3">
    <w:name w:val="heading 3"/>
    <w:basedOn w:val="Normal"/>
    <w:next w:val="Normal"/>
    <w:uiPriority w:val="1"/>
    <w:qFormat/>
    <w:rsid w:val="00967CA8"/>
    <w:pPr>
      <w:spacing w:before="240" w:after="60"/>
      <w:outlineLvl w:val="2"/>
    </w:pPr>
    <w:rPr>
      <w:b/>
      <w:bCs/>
      <w:szCs w:val="26"/>
    </w:rPr>
  </w:style>
  <w:style w:type="paragraph" w:styleId="Heading4">
    <w:name w:val="heading 4"/>
    <w:basedOn w:val="Normal"/>
    <w:next w:val="Normal"/>
    <w:uiPriority w:val="1"/>
    <w:qFormat/>
    <w:rsid w:val="00967CA8"/>
    <w:pPr>
      <w:spacing w:before="240" w:after="60"/>
      <w:outlineLvl w:val="3"/>
    </w:pPr>
    <w:rPr>
      <w:b/>
      <w:bCs/>
      <w:szCs w:val="28"/>
    </w:rPr>
  </w:style>
  <w:style w:type="paragraph" w:styleId="Heading5">
    <w:name w:val="heading 5"/>
    <w:basedOn w:val="Normal"/>
    <w:next w:val="Normal"/>
    <w:uiPriority w:val="1"/>
    <w:qFormat/>
    <w:rsid w:val="00967CA8"/>
    <w:pPr>
      <w:spacing w:before="240" w:after="60"/>
      <w:outlineLvl w:val="4"/>
    </w:pPr>
    <w:rPr>
      <w:b/>
      <w:bCs/>
      <w:iCs/>
      <w:szCs w:val="26"/>
    </w:rPr>
  </w:style>
  <w:style w:type="paragraph" w:styleId="Heading6">
    <w:name w:val="heading 6"/>
    <w:basedOn w:val="Normal"/>
    <w:next w:val="Normal"/>
    <w:uiPriority w:val="1"/>
    <w:qFormat/>
    <w:rsid w:val="00967CA8"/>
    <w:pPr>
      <w:spacing w:before="240" w:after="60"/>
      <w:outlineLvl w:val="5"/>
    </w:pPr>
    <w:rPr>
      <w:b/>
      <w:bCs/>
      <w:szCs w:val="22"/>
    </w:rPr>
  </w:style>
  <w:style w:type="paragraph" w:styleId="Heading7">
    <w:name w:val="heading 7"/>
    <w:basedOn w:val="Normal"/>
    <w:next w:val="Normal"/>
    <w:uiPriority w:val="1"/>
    <w:qFormat/>
    <w:rsid w:val="00967CA8"/>
    <w:pPr>
      <w:spacing w:before="240" w:after="60"/>
      <w:outlineLvl w:val="6"/>
    </w:pPr>
    <w:rPr>
      <w:b/>
    </w:rPr>
  </w:style>
  <w:style w:type="paragraph" w:styleId="Heading8">
    <w:name w:val="heading 8"/>
    <w:basedOn w:val="Normal"/>
    <w:next w:val="Normal"/>
    <w:uiPriority w:val="1"/>
    <w:qFormat/>
    <w:rsid w:val="00967CA8"/>
    <w:pPr>
      <w:spacing w:before="240" w:after="60"/>
      <w:outlineLvl w:val="7"/>
    </w:pPr>
    <w:rPr>
      <w:b/>
      <w:iCs/>
    </w:rPr>
  </w:style>
  <w:style w:type="paragraph" w:styleId="Heading9">
    <w:name w:val="heading 9"/>
    <w:basedOn w:val="Normal"/>
    <w:next w:val="Normal"/>
    <w:uiPriority w:val="2"/>
    <w:qFormat/>
    <w:rsid w:val="00967CA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67CA8"/>
    <w:pPr>
      <w:spacing w:after="240"/>
    </w:pPr>
    <w:rPr>
      <w:szCs w:val="20"/>
    </w:rPr>
  </w:style>
  <w:style w:type="paragraph" w:styleId="Quote">
    <w:name w:val="Quote"/>
    <w:basedOn w:val="BodyText"/>
    <w:uiPriority w:val="2"/>
    <w:qFormat/>
    <w:rsid w:val="00967CA8"/>
    <w:pPr>
      <w:ind w:left="1440" w:right="1440"/>
    </w:pPr>
  </w:style>
  <w:style w:type="paragraph" w:customStyle="1" w:styleId="BodyTextContinued">
    <w:name w:val="Body Text Continued"/>
    <w:basedOn w:val="BodyText"/>
    <w:next w:val="BodyText"/>
    <w:rsid w:val="00967CA8"/>
  </w:style>
  <w:style w:type="paragraph" w:styleId="TOC1">
    <w:name w:val="toc 1"/>
    <w:basedOn w:val="Normal"/>
    <w:next w:val="Normal"/>
    <w:autoRedefine/>
    <w:uiPriority w:val="2"/>
    <w:rsid w:val="00967CA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67CA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67CA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67CA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67CA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67CA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67CA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67CA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67CA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67CA8"/>
    <w:pPr>
      <w:numPr>
        <w:numId w:val="9"/>
      </w:numPr>
    </w:pPr>
  </w:style>
  <w:style w:type="paragraph" w:styleId="ListNumber2">
    <w:name w:val="List Number 2"/>
    <w:basedOn w:val="BodyText"/>
    <w:uiPriority w:val="1"/>
    <w:rsid w:val="00967CA8"/>
    <w:pPr>
      <w:numPr>
        <w:numId w:val="10"/>
      </w:numPr>
    </w:pPr>
  </w:style>
  <w:style w:type="paragraph" w:styleId="ListBullet">
    <w:name w:val="List Bullet"/>
    <w:basedOn w:val="BodyText"/>
    <w:uiPriority w:val="1"/>
    <w:rsid w:val="00967CA8"/>
    <w:pPr>
      <w:numPr>
        <w:numId w:val="5"/>
      </w:numPr>
      <w:tabs>
        <w:tab w:val="left" w:pos="1440"/>
      </w:tabs>
    </w:pPr>
    <w:rPr>
      <w:szCs w:val="24"/>
    </w:rPr>
  </w:style>
  <w:style w:type="paragraph" w:styleId="ListBullet2">
    <w:name w:val="List Bullet 2"/>
    <w:basedOn w:val="BodyText"/>
    <w:uiPriority w:val="1"/>
    <w:rsid w:val="00967CA8"/>
    <w:pPr>
      <w:numPr>
        <w:numId w:val="7"/>
      </w:numPr>
      <w:tabs>
        <w:tab w:val="clear" w:pos="1440"/>
        <w:tab w:val="left" w:pos="720"/>
      </w:tabs>
      <w:ind w:left="720"/>
    </w:pPr>
    <w:rPr>
      <w:szCs w:val="24"/>
    </w:rPr>
  </w:style>
  <w:style w:type="paragraph" w:styleId="Header">
    <w:name w:val="header"/>
    <w:basedOn w:val="Normal"/>
    <w:uiPriority w:val="1"/>
    <w:rsid w:val="00967CA8"/>
    <w:pPr>
      <w:tabs>
        <w:tab w:val="center" w:pos="4680"/>
        <w:tab w:val="right" w:pos="9360"/>
      </w:tabs>
    </w:pPr>
  </w:style>
  <w:style w:type="paragraph" w:styleId="Footer">
    <w:name w:val="footer"/>
    <w:basedOn w:val="Normal"/>
    <w:rsid w:val="00967CA8"/>
    <w:pPr>
      <w:tabs>
        <w:tab w:val="center" w:pos="4680"/>
        <w:tab w:val="right" w:pos="9360"/>
      </w:tabs>
    </w:pPr>
  </w:style>
  <w:style w:type="table" w:styleId="TableGrid">
    <w:name w:val="Table Grid"/>
    <w:basedOn w:val="TableNormal"/>
    <w:rsid w:val="00967C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67CA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67CA8"/>
    <w:rPr>
      <w:rFonts w:ascii="Times New Roman Bold" w:hAnsi="Times New Roman Bold" w:cs="Arial"/>
      <w:b/>
      <w:vanish/>
      <w:color w:val="FF0000"/>
    </w:rPr>
  </w:style>
  <w:style w:type="paragraph" w:customStyle="1" w:styleId="Formhidden">
    <w:name w:val="Form_hidden"/>
    <w:rsid w:val="00967CA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67CA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67CA8"/>
    <w:rPr>
      <w:sz w:val="20"/>
      <w:szCs w:val="20"/>
    </w:rPr>
  </w:style>
  <w:style w:type="paragraph" w:customStyle="1" w:styleId="Titlehidden">
    <w:name w:val="Title_hidden"/>
    <w:uiPriority w:val="2"/>
    <w:rsid w:val="00967CA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967CA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67CA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67CA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67CA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67CA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67CA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67CA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67CA8"/>
    <w:rPr>
      <w:rFonts w:ascii="Arial" w:hAnsi="Arial"/>
      <w:i/>
      <w:vanish/>
      <w:color w:val="FF0000"/>
      <w:szCs w:val="24"/>
    </w:rPr>
  </w:style>
  <w:style w:type="paragraph" w:customStyle="1" w:styleId="MnLevel4hidden">
    <w:name w:val="MnLevel4_hidden"/>
    <w:uiPriority w:val="2"/>
    <w:rsid w:val="00967CA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67CA8"/>
    <w:pPr>
      <w:spacing w:after="240"/>
      <w:ind w:right="5760"/>
    </w:pPr>
    <w:rPr>
      <w:rFonts w:ascii="Arial" w:hAnsi="Arial" w:cs="Arial"/>
      <w:i/>
      <w:vanish/>
      <w:color w:val="FF0000"/>
    </w:rPr>
  </w:style>
  <w:style w:type="paragraph" w:customStyle="1" w:styleId="MnListnhidden">
    <w:name w:val="MnList_n_hidden"/>
    <w:uiPriority w:val="2"/>
    <w:rsid w:val="00967CA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67CA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67CA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67CA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67CA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67CA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67CA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67CA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67CA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67CA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67CA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67CA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67CA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67CA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67CA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67CA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67CA8"/>
    <w:rPr>
      <w:vanish/>
      <w:sz w:val="4"/>
      <w:szCs w:val="24"/>
    </w:rPr>
  </w:style>
  <w:style w:type="paragraph" w:customStyle="1" w:styleId="clausetitlehidden">
    <w:name w:val="clause_title_hidden"/>
    <w:basedOn w:val="Normal"/>
    <w:autoRedefine/>
    <w:uiPriority w:val="2"/>
    <w:qFormat/>
    <w:rsid w:val="00967CA8"/>
    <w:pPr>
      <w:spacing w:before="480" w:after="240"/>
      <w:ind w:left="720" w:hanging="720"/>
    </w:pPr>
    <w:rPr>
      <w:i/>
      <w:vanish/>
      <w:color w:val="FF0000"/>
    </w:rPr>
  </w:style>
  <w:style w:type="paragraph" w:customStyle="1" w:styleId="clausenumberhidden">
    <w:name w:val="clause_number_hidden"/>
    <w:basedOn w:val="Normal"/>
    <w:uiPriority w:val="2"/>
    <w:qFormat/>
    <w:rsid w:val="00967CA8"/>
    <w:pPr>
      <w:spacing w:after="240"/>
    </w:pPr>
    <w:rPr>
      <w:rFonts w:ascii="Arial" w:hAnsi="Arial"/>
      <w:b/>
      <w:i/>
      <w:vanish/>
      <w:color w:val="FF0000"/>
      <w:sz w:val="20"/>
    </w:rPr>
  </w:style>
  <w:style w:type="paragraph" w:customStyle="1" w:styleId="TitleBeforeSubhidden">
    <w:name w:val="TitleBeforeSub_hidden"/>
    <w:uiPriority w:val="2"/>
    <w:qFormat/>
    <w:rsid w:val="00967CA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967CA8"/>
    <w:rPr>
      <w:rFonts w:ascii="Times New Roman" w:hAnsi="Times New Roman" w:cs="Times New Roman"/>
      <w:sz w:val="24"/>
    </w:rPr>
  </w:style>
  <w:style w:type="paragraph" w:customStyle="1" w:styleId="TitleBeforeSub">
    <w:name w:val="TitleBeforeSub"/>
    <w:uiPriority w:val="2"/>
    <w:qFormat/>
    <w:rsid w:val="00967CA8"/>
    <w:pPr>
      <w:keepNext/>
      <w:widowControl w:val="0"/>
      <w:suppressAutoHyphens/>
      <w:spacing w:line="340" w:lineRule="atLeast"/>
      <w:jc w:val="center"/>
    </w:pPr>
    <w:rPr>
      <w:b/>
      <w:sz w:val="28"/>
      <w:szCs w:val="24"/>
    </w:rPr>
  </w:style>
  <w:style w:type="paragraph" w:customStyle="1" w:styleId="Heading">
    <w:name w:val="Heading"/>
    <w:uiPriority w:val="99"/>
    <w:rsid w:val="00967CA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967CA8"/>
    <w:rPr>
      <w:rFonts w:ascii="Times New Roman" w:hAnsi="Times New Roman" w:cs="Times New Roman"/>
      <w:b/>
      <w:bCs/>
      <w:sz w:val="28"/>
      <w:szCs w:val="24"/>
    </w:rPr>
  </w:style>
  <w:style w:type="paragraph" w:customStyle="1" w:styleId="Para">
    <w:name w:val="Para"/>
    <w:uiPriority w:val="99"/>
    <w:rsid w:val="00967CA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967CA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67CA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67CA8"/>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967CA8"/>
    <w:rPr>
      <w:rFonts w:ascii="Arial" w:hAnsi="Arial" w:cs="Arial"/>
      <w:b/>
      <w:bCs/>
      <w:sz w:val="20"/>
      <w:szCs w:val="20"/>
    </w:rPr>
  </w:style>
  <w:style w:type="character" w:customStyle="1" w:styleId="Italic">
    <w:name w:val="Italic"/>
    <w:uiPriority w:val="99"/>
    <w:rsid w:val="00967CA8"/>
    <w:rPr>
      <w:i/>
      <w:iCs/>
    </w:rPr>
  </w:style>
  <w:style w:type="character" w:customStyle="1" w:styleId="Bold">
    <w:name w:val="Bold"/>
    <w:uiPriority w:val="99"/>
    <w:rsid w:val="00967CA8"/>
    <w:rPr>
      <w:b/>
      <w:bCs/>
    </w:rPr>
  </w:style>
  <w:style w:type="paragraph" w:styleId="BalloonText">
    <w:name w:val="Balloon Text"/>
    <w:basedOn w:val="Normal"/>
    <w:link w:val="BalloonTextChar"/>
    <w:rsid w:val="00FC610D"/>
    <w:rPr>
      <w:rFonts w:ascii="Segoe UI" w:hAnsi="Segoe UI" w:cs="Segoe UI"/>
      <w:sz w:val="18"/>
      <w:szCs w:val="18"/>
    </w:rPr>
  </w:style>
  <w:style w:type="character" w:customStyle="1" w:styleId="BalloonTextChar">
    <w:name w:val="Balloon Text Char"/>
    <w:link w:val="BalloonText"/>
    <w:rsid w:val="00FC61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D1D1D4-DDD2-4CCB-B46D-061C896F78E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68176A53-E917-43BC-98D6-BC82C87C2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CF1D0F-3DA5-4E04-B678-64BCD6CB6A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2017-03-13T20:17:00Z</cp:lastPrinted>
  <dcterms:created xsi:type="dcterms:W3CDTF">2021-09-22T15:14:00Z</dcterms:created>
  <dcterms:modified xsi:type="dcterms:W3CDTF">2025-07-22T19:20:00Z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