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24191" w:rsidRPr="009D67CE" w:rsidRDefault="00224191" w:rsidP="004310B3">
      <w:pPr>
        <w:pStyle w:val="Titlehidden"/>
        <w:rPr>
          <w:sz w:val="24"/>
        </w:rPr>
      </w:pPr>
      <w:r w:rsidRPr="00224191">
        <w:rPr>
          <w:rFonts w:ascii="Times New Roman" w:hAnsi="Times New Roman"/>
          <w:sz w:val="18"/>
        </w:rPr>
        <w:br/>
      </w:r>
      <w:r w:rsidR="009D67CE" w:rsidRPr="009D67CE">
        <w:rPr>
          <w:sz w:val="24"/>
        </w:rPr>
        <w:t>Form 1</w:t>
      </w:r>
      <w:r w:rsidR="006D7A21">
        <w:rPr>
          <w:sz w:val="24"/>
        </w:rPr>
        <w:t>31</w:t>
      </w:r>
      <w:r w:rsidR="009D67CE" w:rsidRPr="009D67CE">
        <w:rPr>
          <w:sz w:val="24"/>
        </w:rPr>
        <w:t>—</w:t>
      </w:r>
      <w:r w:rsidR="006D7A21">
        <w:rPr>
          <w:sz w:val="24"/>
        </w:rPr>
        <w:t>TEXAS ESTATES CODE, CHAPTER 456</w:t>
      </w:r>
      <w:r w:rsidRPr="009D67CE">
        <w:rPr>
          <w:rFonts w:ascii="Times New Roman" w:hAnsi="Times New Roman"/>
          <w:sz w:val="24"/>
        </w:rPr>
        <w:br/>
      </w:r>
    </w:p>
    <w:p w:rsidR="006D7A21" w:rsidRPr="006D7A21" w:rsidRDefault="006D7A21" w:rsidP="004310B3">
      <w:pPr>
        <w:pStyle w:val="para"/>
        <w:tabs>
          <w:tab w:val="right" w:leader="underscore" w:pos="9000"/>
        </w:tabs>
        <w:spacing w:before="360" w:after="360" w:line="240" w:lineRule="auto"/>
        <w:contextualSpacing/>
        <w:jc w:val="center"/>
        <w:rPr>
          <w:b/>
          <w:bCs/>
          <w:w w:val="100"/>
          <w:sz w:val="28"/>
          <w:szCs w:val="28"/>
        </w:rPr>
      </w:pPr>
      <w:r w:rsidRPr="006D7A21">
        <w:rPr>
          <w:b/>
          <w:bCs/>
          <w:w w:val="100"/>
          <w:sz w:val="28"/>
          <w:szCs w:val="28"/>
        </w:rPr>
        <w:t>Texas Estates Code, Chapter 456</w:t>
      </w:r>
    </w:p>
    <w:p w:rsidR="00224191" w:rsidRDefault="006D7A21" w:rsidP="004310B3">
      <w:pPr>
        <w:pStyle w:val="para"/>
        <w:widowControl/>
        <w:tabs>
          <w:tab w:val="right" w:leader="underscore" w:pos="9000"/>
        </w:tabs>
        <w:spacing w:before="360" w:after="360" w:line="240" w:lineRule="auto"/>
        <w:contextualSpacing/>
        <w:jc w:val="center"/>
        <w:rPr>
          <w:b/>
          <w:bCs/>
          <w:w w:val="100"/>
          <w:sz w:val="28"/>
          <w:szCs w:val="28"/>
        </w:rPr>
      </w:pPr>
      <w:r w:rsidRPr="006D7A21">
        <w:rPr>
          <w:b/>
          <w:bCs/>
          <w:w w:val="100"/>
          <w:sz w:val="28"/>
          <w:szCs w:val="28"/>
        </w:rPr>
        <w:t>Disbursement and Closing of Lawyer Trust or Escrow Accounts</w:t>
      </w:r>
    </w:p>
    <w:p w:rsidR="006D7A21" w:rsidRDefault="006D7A21" w:rsidP="004310B3">
      <w:pPr>
        <w:pStyle w:val="para"/>
        <w:tabs>
          <w:tab w:val="right" w:leader="underscore" w:pos="9000"/>
        </w:tabs>
        <w:spacing w:after="200" w:line="240" w:lineRule="auto"/>
        <w:ind w:firstLine="620"/>
        <w:rPr>
          <w:w w:val="100"/>
          <w:sz w:val="24"/>
          <w:szCs w:val="24"/>
        </w:rPr>
      </w:pPr>
    </w:p>
    <w:p w:rsidR="0055210A" w:rsidRPr="006D7A21" w:rsidRDefault="006D7A21" w:rsidP="004310B3">
      <w:pPr>
        <w:pStyle w:val="para"/>
        <w:tabs>
          <w:tab w:val="right" w:leader="underscore" w:pos="9000"/>
        </w:tabs>
        <w:spacing w:after="200" w:line="240" w:lineRule="auto"/>
        <w:rPr>
          <w:b/>
          <w:w w:val="100"/>
          <w:sz w:val="24"/>
          <w:szCs w:val="24"/>
        </w:rPr>
      </w:pPr>
      <w:r w:rsidRPr="006D7A21">
        <w:rPr>
          <w:b/>
          <w:w w:val="100"/>
          <w:sz w:val="24"/>
          <w:szCs w:val="24"/>
        </w:rPr>
        <w:t>§ 456.001  Definition</w:t>
      </w:r>
    </w:p>
    <w:p w:rsidR="007F463F" w:rsidRDefault="006D7A21" w:rsidP="004310B3">
      <w:pPr>
        <w:pStyle w:val="para"/>
        <w:widowControl/>
        <w:tabs>
          <w:tab w:val="right" w:leader="underscore" w:pos="9000"/>
        </w:tabs>
        <w:spacing w:before="0" w:after="200" w:line="240" w:lineRule="auto"/>
        <w:ind w:firstLine="619"/>
        <w:jc w:val="left"/>
        <w:rPr>
          <w:w w:val="100"/>
          <w:sz w:val="24"/>
          <w:szCs w:val="24"/>
        </w:rPr>
      </w:pPr>
      <w:r w:rsidRPr="006D7A21">
        <w:rPr>
          <w:w w:val="100"/>
          <w:sz w:val="24"/>
          <w:szCs w:val="24"/>
        </w:rPr>
        <w:t>In this chapter, “eligible institution” means a financial institution or investment company in which a lawyer has established an escrow or trust account for purposes of holding client funds or the funds of third persons that are in the lawyer’s possession in connection with representation as required by the Texas Disciplinary Rules of Professional Conduct</w:t>
      </w:r>
      <w:r w:rsidR="0055210A" w:rsidRPr="0055210A">
        <w:rPr>
          <w:w w:val="100"/>
          <w:sz w:val="24"/>
          <w:szCs w:val="24"/>
        </w:rPr>
        <w:t>.</w:t>
      </w:r>
    </w:p>
    <w:p w:rsidR="006D7A21" w:rsidRPr="006D7A21" w:rsidRDefault="006D7A21" w:rsidP="004310B3">
      <w:pPr>
        <w:pStyle w:val="para"/>
        <w:tabs>
          <w:tab w:val="right" w:leader="underscore" w:pos="9000"/>
        </w:tabs>
        <w:spacing w:after="200" w:line="240" w:lineRule="auto"/>
        <w:rPr>
          <w:b/>
          <w:w w:val="100"/>
          <w:sz w:val="24"/>
          <w:szCs w:val="24"/>
        </w:rPr>
      </w:pPr>
      <w:r w:rsidRPr="006D7A21">
        <w:rPr>
          <w:b/>
          <w:w w:val="100"/>
          <w:sz w:val="24"/>
          <w:szCs w:val="24"/>
        </w:rPr>
        <w:t>§ 456.002  Authority to Designate Lawyer on Certain Trust or Escrow Accounts</w:t>
      </w:r>
    </w:p>
    <w:p w:rsidR="006D7A21" w:rsidRDefault="006D7A21" w:rsidP="004310B3">
      <w:pPr>
        <w:pStyle w:val="para"/>
        <w:widowControl/>
        <w:tabs>
          <w:tab w:val="left" w:pos="1080"/>
          <w:tab w:val="right" w:leader="underscore" w:pos="9000"/>
        </w:tabs>
        <w:spacing w:before="0" w:after="200" w:line="240" w:lineRule="auto"/>
        <w:ind w:firstLine="620"/>
        <w:jc w:val="left"/>
        <w:rPr>
          <w:w w:val="100"/>
          <w:sz w:val="24"/>
          <w:szCs w:val="24"/>
        </w:rPr>
      </w:pPr>
      <w:r w:rsidRPr="006D7A21">
        <w:rPr>
          <w:w w:val="100"/>
          <w:sz w:val="24"/>
          <w:szCs w:val="24"/>
        </w:rPr>
        <w:t xml:space="preserve">(a) </w:t>
      </w:r>
      <w:r w:rsidRPr="006D7A21">
        <w:rPr>
          <w:w w:val="100"/>
          <w:sz w:val="24"/>
          <w:szCs w:val="24"/>
        </w:rPr>
        <w:tab/>
        <w:t>When administering the estate of a deceased lawyer who established one or more trust or escrow accounts for client funds or the funds of third persons that are in the lawyer’s possession in connection with representation as required by the Texas Disciplinary Rules of Professional Conduct, the personal representative may hire through written agreement a lawyer authorized to practice in this state</w:t>
      </w:r>
      <w:r w:rsidR="009B25C8">
        <w:rPr>
          <w:w w:val="100"/>
          <w:sz w:val="24"/>
          <w:szCs w:val="24"/>
        </w:rPr>
        <w:t xml:space="preserve"> to</w:t>
      </w:r>
      <w:r>
        <w:rPr>
          <w:w w:val="100"/>
          <w:sz w:val="24"/>
          <w:szCs w:val="24"/>
        </w:rPr>
        <w:t>:</w:t>
      </w:r>
    </w:p>
    <w:p w:rsidR="006D7A21" w:rsidRPr="006D7A21" w:rsidRDefault="006D7A21" w:rsidP="004310B3">
      <w:pPr>
        <w:pStyle w:val="para"/>
        <w:tabs>
          <w:tab w:val="left" w:pos="1620"/>
          <w:tab w:val="right" w:leader="underscore" w:pos="9000"/>
        </w:tabs>
        <w:spacing w:after="200" w:line="240" w:lineRule="auto"/>
        <w:ind w:firstLine="1080"/>
        <w:rPr>
          <w:w w:val="100"/>
          <w:sz w:val="24"/>
          <w:szCs w:val="24"/>
        </w:rPr>
      </w:pPr>
      <w:r w:rsidRPr="006D7A21">
        <w:rPr>
          <w:w w:val="100"/>
          <w:sz w:val="24"/>
          <w:szCs w:val="24"/>
        </w:rPr>
        <w:t xml:space="preserve">(1) </w:t>
      </w:r>
      <w:r w:rsidRPr="006D7A21">
        <w:rPr>
          <w:w w:val="100"/>
          <w:sz w:val="24"/>
          <w:szCs w:val="24"/>
        </w:rPr>
        <w:tab/>
        <w:t>be the authorized signer on the trust or escrow account;</w:t>
      </w:r>
    </w:p>
    <w:p w:rsidR="006D7A21" w:rsidRPr="006D7A21" w:rsidRDefault="006D7A21" w:rsidP="004310B3">
      <w:pPr>
        <w:pStyle w:val="para"/>
        <w:tabs>
          <w:tab w:val="left" w:pos="1620"/>
          <w:tab w:val="right" w:leader="underscore" w:pos="9000"/>
        </w:tabs>
        <w:spacing w:after="200" w:line="240" w:lineRule="auto"/>
        <w:ind w:firstLine="1080"/>
        <w:rPr>
          <w:w w:val="100"/>
          <w:sz w:val="24"/>
          <w:szCs w:val="24"/>
        </w:rPr>
      </w:pPr>
      <w:r w:rsidRPr="006D7A21">
        <w:rPr>
          <w:w w:val="100"/>
          <w:sz w:val="24"/>
          <w:szCs w:val="24"/>
        </w:rPr>
        <w:t xml:space="preserve">(2) </w:t>
      </w:r>
      <w:r w:rsidRPr="006D7A21">
        <w:rPr>
          <w:w w:val="100"/>
          <w:sz w:val="24"/>
          <w:szCs w:val="24"/>
        </w:rPr>
        <w:tab/>
        <w:t>determine who is entitled to receive the funds in the account;</w:t>
      </w:r>
    </w:p>
    <w:p w:rsidR="006D7A21" w:rsidRPr="006D7A21" w:rsidRDefault="006D7A21" w:rsidP="004310B3">
      <w:pPr>
        <w:pStyle w:val="para"/>
        <w:tabs>
          <w:tab w:val="left" w:pos="1620"/>
          <w:tab w:val="right" w:leader="underscore" w:pos="9000"/>
        </w:tabs>
        <w:spacing w:after="200" w:line="240" w:lineRule="auto"/>
        <w:ind w:firstLine="1080"/>
        <w:rPr>
          <w:w w:val="100"/>
          <w:sz w:val="24"/>
          <w:szCs w:val="24"/>
        </w:rPr>
      </w:pPr>
      <w:r w:rsidRPr="006D7A21">
        <w:rPr>
          <w:w w:val="100"/>
          <w:sz w:val="24"/>
          <w:szCs w:val="24"/>
        </w:rPr>
        <w:t xml:space="preserve">(3) </w:t>
      </w:r>
      <w:r w:rsidRPr="006D7A21">
        <w:rPr>
          <w:w w:val="100"/>
          <w:sz w:val="24"/>
          <w:szCs w:val="24"/>
        </w:rPr>
        <w:tab/>
        <w:t>disburse the funds to the appropriate persons or to the decedent’s estate; and</w:t>
      </w:r>
    </w:p>
    <w:p w:rsidR="006D7A21" w:rsidRDefault="006D7A21" w:rsidP="004310B3">
      <w:pPr>
        <w:pStyle w:val="para"/>
        <w:widowControl/>
        <w:tabs>
          <w:tab w:val="left" w:pos="1620"/>
          <w:tab w:val="right" w:leader="underscore" w:pos="9000"/>
        </w:tabs>
        <w:spacing w:before="0" w:after="200" w:line="240" w:lineRule="auto"/>
        <w:ind w:firstLine="1080"/>
        <w:jc w:val="left"/>
        <w:rPr>
          <w:w w:val="100"/>
          <w:sz w:val="24"/>
          <w:szCs w:val="24"/>
        </w:rPr>
      </w:pPr>
      <w:r w:rsidRPr="006D7A21">
        <w:rPr>
          <w:w w:val="100"/>
          <w:sz w:val="24"/>
          <w:szCs w:val="24"/>
        </w:rPr>
        <w:t xml:space="preserve">(4) </w:t>
      </w:r>
      <w:r w:rsidRPr="006D7A21">
        <w:rPr>
          <w:w w:val="100"/>
          <w:sz w:val="24"/>
          <w:szCs w:val="24"/>
        </w:rPr>
        <w:tab/>
        <w:t>close the account.</w:t>
      </w:r>
    </w:p>
    <w:p w:rsidR="006D7A21" w:rsidRDefault="006D7A21" w:rsidP="004310B3">
      <w:pPr>
        <w:pStyle w:val="para"/>
        <w:widowControl/>
        <w:tabs>
          <w:tab w:val="left" w:pos="1080"/>
          <w:tab w:val="right" w:leader="underscore" w:pos="9000"/>
        </w:tabs>
        <w:spacing w:before="0" w:after="200" w:line="240" w:lineRule="auto"/>
        <w:ind w:firstLine="619"/>
        <w:jc w:val="left"/>
        <w:rPr>
          <w:w w:val="100"/>
          <w:sz w:val="24"/>
          <w:szCs w:val="24"/>
        </w:rPr>
      </w:pPr>
      <w:r w:rsidRPr="006D7A21">
        <w:rPr>
          <w:w w:val="100"/>
          <w:sz w:val="24"/>
          <w:szCs w:val="24"/>
        </w:rPr>
        <w:t xml:space="preserve">(b) </w:t>
      </w:r>
      <w:r w:rsidRPr="006D7A21">
        <w:rPr>
          <w:w w:val="100"/>
          <w:sz w:val="24"/>
          <w:szCs w:val="24"/>
        </w:rPr>
        <w:tab/>
        <w:t>If the personal representative is a lawyer authorized to practice in this state, the personal representative may state that fact and disburse the trust or escrow accounts funds of a deceased lawyer in accordance with Subsection (a).</w:t>
      </w:r>
    </w:p>
    <w:p w:rsidR="006D7A21" w:rsidRDefault="006D7A21" w:rsidP="004310B3">
      <w:pPr>
        <w:pStyle w:val="para"/>
        <w:widowControl/>
        <w:tabs>
          <w:tab w:val="left" w:pos="1080"/>
          <w:tab w:val="right" w:leader="underscore" w:pos="9000"/>
        </w:tabs>
        <w:spacing w:before="0" w:after="200" w:line="240" w:lineRule="auto"/>
        <w:ind w:firstLine="619"/>
        <w:jc w:val="left"/>
        <w:rPr>
          <w:w w:val="100"/>
          <w:sz w:val="24"/>
          <w:szCs w:val="24"/>
        </w:rPr>
      </w:pPr>
      <w:r w:rsidRPr="006D7A21">
        <w:rPr>
          <w:w w:val="100"/>
          <w:sz w:val="24"/>
          <w:szCs w:val="24"/>
        </w:rPr>
        <w:t xml:space="preserve">(c) </w:t>
      </w:r>
      <w:r w:rsidRPr="006D7A21">
        <w:rPr>
          <w:w w:val="100"/>
          <w:sz w:val="24"/>
          <w:szCs w:val="24"/>
        </w:rPr>
        <w:tab/>
        <w:t>An agreement under Subsection (a) or a statement under Subsection (b) must be made in writing, and a copy of the agreement or statement must be delivered to each eligible institution in which the trust or escrow accounts were established.</w:t>
      </w:r>
    </w:p>
    <w:p w:rsidR="006D7A21" w:rsidRPr="006D7A21" w:rsidRDefault="006D7A21" w:rsidP="004310B3">
      <w:pPr>
        <w:pStyle w:val="para"/>
        <w:tabs>
          <w:tab w:val="right" w:leader="underscore" w:pos="9000"/>
        </w:tabs>
        <w:spacing w:after="200" w:line="240" w:lineRule="auto"/>
        <w:rPr>
          <w:b/>
          <w:w w:val="100"/>
          <w:sz w:val="24"/>
          <w:szCs w:val="24"/>
        </w:rPr>
      </w:pPr>
      <w:r w:rsidRPr="006D7A21">
        <w:rPr>
          <w:b/>
          <w:w w:val="100"/>
          <w:sz w:val="24"/>
          <w:szCs w:val="24"/>
        </w:rPr>
        <w:t>§ 456.00</w:t>
      </w:r>
      <w:r>
        <w:rPr>
          <w:b/>
          <w:w w:val="100"/>
          <w:sz w:val="24"/>
          <w:szCs w:val="24"/>
        </w:rPr>
        <w:t>3</w:t>
      </w:r>
      <w:r w:rsidRPr="006D7A21">
        <w:rPr>
          <w:b/>
          <w:w w:val="100"/>
          <w:sz w:val="24"/>
          <w:szCs w:val="24"/>
        </w:rPr>
        <w:t xml:space="preserve">  Duty of Eligible Institutions</w:t>
      </w:r>
    </w:p>
    <w:p w:rsidR="006D7A21" w:rsidRDefault="000F7495" w:rsidP="004310B3">
      <w:pPr>
        <w:pStyle w:val="para"/>
        <w:widowControl/>
        <w:tabs>
          <w:tab w:val="right" w:leader="underscore" w:pos="9000"/>
        </w:tabs>
        <w:spacing w:before="0" w:after="200" w:line="240" w:lineRule="auto"/>
        <w:ind w:firstLine="619"/>
        <w:jc w:val="left"/>
        <w:rPr>
          <w:w w:val="100"/>
          <w:sz w:val="24"/>
          <w:szCs w:val="24"/>
        </w:rPr>
      </w:pPr>
      <w:r>
        <w:rPr>
          <w:w w:val="100"/>
          <w:sz w:val="24"/>
          <w:szCs w:val="24"/>
        </w:rPr>
        <w:t>Not later than the seventh business day</w:t>
      </w:r>
      <w:r w:rsidR="00545E14" w:rsidRPr="00545E14">
        <w:rPr>
          <w:w w:val="100"/>
          <w:sz w:val="24"/>
          <w:szCs w:val="24"/>
        </w:rPr>
        <w:t xml:space="preserve"> after </w:t>
      </w:r>
      <w:r>
        <w:rPr>
          <w:w w:val="100"/>
          <w:sz w:val="24"/>
          <w:szCs w:val="24"/>
        </w:rPr>
        <w:t>the date an eligible institution receives</w:t>
      </w:r>
      <w:r w:rsidR="00545E14" w:rsidRPr="00545E14">
        <w:rPr>
          <w:w w:val="100"/>
          <w:sz w:val="24"/>
          <w:szCs w:val="24"/>
        </w:rPr>
        <w:t xml:space="preserve"> a copy of a written agreement under Section 456.002(a) or a statement from a personal representative under Section 456.002(b) and instructions from the lawyer identified in the agreement or statement, as applicable, regarding how to disburse the funds or close a trust or escrow account, </w:t>
      </w:r>
      <w:r>
        <w:rPr>
          <w:w w:val="100"/>
          <w:sz w:val="24"/>
          <w:szCs w:val="24"/>
        </w:rPr>
        <w:t>the</w:t>
      </w:r>
      <w:r w:rsidR="00545E14" w:rsidRPr="00545E14">
        <w:rPr>
          <w:w w:val="100"/>
          <w:sz w:val="24"/>
          <w:szCs w:val="24"/>
        </w:rPr>
        <w:t xml:space="preserve"> eligible institution shall disburse the funds and close the account in compliance with the instructions</w:t>
      </w:r>
      <w:r w:rsidR="006D7A21" w:rsidRPr="0055210A">
        <w:rPr>
          <w:w w:val="100"/>
          <w:sz w:val="24"/>
          <w:szCs w:val="24"/>
        </w:rPr>
        <w:t>.</w:t>
      </w:r>
    </w:p>
    <w:p w:rsidR="00545E14" w:rsidRPr="006D7A21" w:rsidRDefault="00545E14" w:rsidP="004310B3">
      <w:pPr>
        <w:pStyle w:val="para"/>
        <w:tabs>
          <w:tab w:val="right" w:leader="underscore" w:pos="9000"/>
        </w:tabs>
        <w:spacing w:after="200" w:line="240" w:lineRule="auto"/>
        <w:rPr>
          <w:b/>
          <w:w w:val="100"/>
          <w:sz w:val="24"/>
          <w:szCs w:val="24"/>
        </w:rPr>
      </w:pPr>
      <w:r w:rsidRPr="006D7A21">
        <w:rPr>
          <w:b/>
          <w:w w:val="100"/>
          <w:sz w:val="24"/>
          <w:szCs w:val="24"/>
        </w:rPr>
        <w:lastRenderedPageBreak/>
        <w:t>§ 456.00</w:t>
      </w:r>
      <w:r>
        <w:rPr>
          <w:b/>
          <w:w w:val="100"/>
          <w:sz w:val="24"/>
          <w:szCs w:val="24"/>
        </w:rPr>
        <w:t>4</w:t>
      </w:r>
      <w:r w:rsidRPr="006D7A21">
        <w:rPr>
          <w:b/>
          <w:w w:val="100"/>
          <w:sz w:val="24"/>
          <w:szCs w:val="24"/>
        </w:rPr>
        <w:t xml:space="preserve">  </w:t>
      </w:r>
      <w:r>
        <w:rPr>
          <w:b/>
          <w:w w:val="100"/>
          <w:sz w:val="24"/>
          <w:szCs w:val="24"/>
        </w:rPr>
        <w:t>Liability</w:t>
      </w:r>
      <w:r w:rsidRPr="006D7A21">
        <w:rPr>
          <w:b/>
          <w:w w:val="100"/>
          <w:sz w:val="24"/>
          <w:szCs w:val="24"/>
        </w:rPr>
        <w:t xml:space="preserve"> of Eligible Institutions</w:t>
      </w:r>
    </w:p>
    <w:p w:rsidR="00545E14" w:rsidRDefault="00545E14" w:rsidP="004310B3">
      <w:pPr>
        <w:pStyle w:val="para"/>
        <w:widowControl/>
        <w:tabs>
          <w:tab w:val="right" w:leader="underscore" w:pos="9000"/>
        </w:tabs>
        <w:spacing w:before="0" w:after="200" w:line="240" w:lineRule="auto"/>
        <w:ind w:firstLine="619"/>
        <w:jc w:val="left"/>
        <w:rPr>
          <w:w w:val="100"/>
          <w:sz w:val="24"/>
          <w:szCs w:val="24"/>
        </w:rPr>
      </w:pPr>
      <w:r w:rsidRPr="00545E14">
        <w:rPr>
          <w:w w:val="100"/>
          <w:sz w:val="24"/>
          <w:szCs w:val="24"/>
        </w:rPr>
        <w:t>An eligible institution is not liable for any act respecting an account taken in compliance with this chapter</w:t>
      </w:r>
      <w:r w:rsidRPr="0055210A">
        <w:rPr>
          <w:w w:val="100"/>
          <w:sz w:val="24"/>
          <w:szCs w:val="24"/>
        </w:rPr>
        <w:t>.</w:t>
      </w:r>
    </w:p>
    <w:p w:rsidR="000F7495" w:rsidRPr="006D7A21" w:rsidRDefault="000F7495" w:rsidP="000F7495">
      <w:pPr>
        <w:pStyle w:val="para"/>
        <w:tabs>
          <w:tab w:val="right" w:leader="underscore" w:pos="9000"/>
        </w:tabs>
        <w:spacing w:after="200" w:line="240" w:lineRule="auto"/>
        <w:rPr>
          <w:b/>
          <w:w w:val="100"/>
          <w:sz w:val="24"/>
          <w:szCs w:val="24"/>
        </w:rPr>
      </w:pPr>
      <w:r w:rsidRPr="006D7A21">
        <w:rPr>
          <w:b/>
          <w:w w:val="100"/>
          <w:sz w:val="24"/>
          <w:szCs w:val="24"/>
        </w:rPr>
        <w:t>§ 456.00</w:t>
      </w:r>
      <w:r>
        <w:rPr>
          <w:b/>
          <w:w w:val="100"/>
          <w:sz w:val="24"/>
          <w:szCs w:val="24"/>
        </w:rPr>
        <w:t>45</w:t>
      </w:r>
      <w:r w:rsidRPr="006D7A21">
        <w:rPr>
          <w:b/>
          <w:w w:val="100"/>
          <w:sz w:val="24"/>
          <w:szCs w:val="24"/>
        </w:rPr>
        <w:t xml:space="preserve">  </w:t>
      </w:r>
      <w:r>
        <w:rPr>
          <w:b/>
          <w:w w:val="100"/>
          <w:sz w:val="24"/>
          <w:szCs w:val="24"/>
        </w:rPr>
        <w:t>Private Cause of Action</w:t>
      </w:r>
    </w:p>
    <w:p w:rsidR="000F7495" w:rsidRDefault="000F7495" w:rsidP="000F7495">
      <w:pPr>
        <w:pStyle w:val="para"/>
        <w:widowControl/>
        <w:tabs>
          <w:tab w:val="left" w:pos="1080"/>
          <w:tab w:val="right" w:leader="underscore" w:pos="9000"/>
        </w:tabs>
        <w:spacing w:before="0" w:after="200" w:line="240" w:lineRule="auto"/>
        <w:ind w:firstLine="620"/>
        <w:jc w:val="left"/>
        <w:rPr>
          <w:w w:val="100"/>
          <w:sz w:val="24"/>
          <w:szCs w:val="24"/>
        </w:rPr>
      </w:pPr>
      <w:r w:rsidRPr="006D7A21">
        <w:rPr>
          <w:w w:val="100"/>
          <w:sz w:val="24"/>
          <w:szCs w:val="24"/>
        </w:rPr>
        <w:t xml:space="preserve">(a) </w:t>
      </w:r>
      <w:r w:rsidRPr="006D7A21">
        <w:rPr>
          <w:w w:val="100"/>
          <w:sz w:val="24"/>
          <w:szCs w:val="24"/>
        </w:rPr>
        <w:tab/>
      </w:r>
      <w:r>
        <w:rPr>
          <w:w w:val="100"/>
          <w:sz w:val="24"/>
          <w:szCs w:val="24"/>
        </w:rPr>
        <w:t>If an eligible institution violates Section 456.003, a person aggrieved by the violation may bring an action against the eligible institution to:</w:t>
      </w:r>
    </w:p>
    <w:p w:rsidR="000F7495" w:rsidRPr="006D7A21" w:rsidRDefault="000F7495" w:rsidP="000F7495">
      <w:pPr>
        <w:pStyle w:val="para"/>
        <w:tabs>
          <w:tab w:val="left" w:pos="1620"/>
          <w:tab w:val="right" w:leader="underscore" w:pos="9000"/>
        </w:tabs>
        <w:spacing w:after="200" w:line="240" w:lineRule="auto"/>
        <w:ind w:firstLine="1080"/>
        <w:rPr>
          <w:w w:val="100"/>
          <w:sz w:val="24"/>
          <w:szCs w:val="24"/>
        </w:rPr>
      </w:pPr>
      <w:r w:rsidRPr="006D7A21">
        <w:rPr>
          <w:w w:val="100"/>
          <w:sz w:val="24"/>
          <w:szCs w:val="24"/>
        </w:rPr>
        <w:t xml:space="preserve">(1) </w:t>
      </w:r>
      <w:r w:rsidRPr="006D7A21">
        <w:rPr>
          <w:w w:val="100"/>
          <w:sz w:val="24"/>
          <w:szCs w:val="24"/>
        </w:rPr>
        <w:tab/>
      </w:r>
      <w:r>
        <w:rPr>
          <w:w w:val="100"/>
          <w:sz w:val="24"/>
          <w:szCs w:val="24"/>
        </w:rPr>
        <w:t>obtain declaratory or injunctive relief to enforce the section; and</w:t>
      </w:r>
    </w:p>
    <w:p w:rsidR="000F7495" w:rsidRPr="006D7A21" w:rsidRDefault="000F7495" w:rsidP="003035D2">
      <w:pPr>
        <w:pStyle w:val="para"/>
        <w:tabs>
          <w:tab w:val="left" w:pos="1620"/>
          <w:tab w:val="right" w:leader="underscore" w:pos="9000"/>
        </w:tabs>
        <w:spacing w:after="200" w:line="240" w:lineRule="auto"/>
        <w:ind w:firstLine="1080"/>
        <w:jc w:val="left"/>
        <w:rPr>
          <w:w w:val="100"/>
          <w:sz w:val="24"/>
          <w:szCs w:val="24"/>
        </w:rPr>
      </w:pPr>
      <w:r w:rsidRPr="006D7A21">
        <w:rPr>
          <w:w w:val="100"/>
          <w:sz w:val="24"/>
          <w:szCs w:val="24"/>
        </w:rPr>
        <w:t xml:space="preserve">(2) </w:t>
      </w:r>
      <w:r w:rsidRPr="006D7A21">
        <w:rPr>
          <w:w w:val="100"/>
          <w:sz w:val="24"/>
          <w:szCs w:val="24"/>
        </w:rPr>
        <w:tab/>
      </w:r>
      <w:r>
        <w:rPr>
          <w:w w:val="100"/>
          <w:sz w:val="24"/>
          <w:szCs w:val="24"/>
        </w:rPr>
        <w:t>recover damages to the same extent the person would be entitled to damages had the eligible institution acted in the same manner with respect to the deceased lawyer before the lawyer’s death.</w:t>
      </w:r>
    </w:p>
    <w:p w:rsidR="000F7495" w:rsidRDefault="000F7495" w:rsidP="000F7495">
      <w:pPr>
        <w:pStyle w:val="para"/>
        <w:widowControl/>
        <w:tabs>
          <w:tab w:val="left" w:pos="1080"/>
          <w:tab w:val="right" w:leader="underscore" w:pos="9000"/>
        </w:tabs>
        <w:spacing w:before="0" w:after="200" w:line="240" w:lineRule="auto"/>
        <w:ind w:firstLine="619"/>
        <w:jc w:val="left"/>
        <w:rPr>
          <w:w w:val="100"/>
          <w:sz w:val="24"/>
          <w:szCs w:val="24"/>
        </w:rPr>
      </w:pPr>
      <w:r>
        <w:rPr>
          <w:w w:val="100"/>
          <w:sz w:val="24"/>
          <w:szCs w:val="24"/>
        </w:rPr>
        <w:t xml:space="preserve">(b) </w:t>
      </w:r>
      <w:r>
        <w:rPr>
          <w:w w:val="100"/>
          <w:sz w:val="24"/>
          <w:szCs w:val="24"/>
        </w:rPr>
        <w:tab/>
        <w:t>A person who prevails in an action under this section may recover court costs and reasonable attorney’s fees</w:t>
      </w:r>
      <w:r w:rsidRPr="006D7A21">
        <w:rPr>
          <w:w w:val="100"/>
          <w:sz w:val="24"/>
          <w:szCs w:val="24"/>
        </w:rPr>
        <w:t>.</w:t>
      </w:r>
    </w:p>
    <w:p w:rsidR="00545E14" w:rsidRPr="006D7A21" w:rsidRDefault="00545E14" w:rsidP="004310B3">
      <w:pPr>
        <w:pStyle w:val="para"/>
        <w:tabs>
          <w:tab w:val="right" w:leader="underscore" w:pos="9000"/>
        </w:tabs>
        <w:spacing w:after="200" w:line="240" w:lineRule="auto"/>
        <w:rPr>
          <w:b/>
          <w:w w:val="100"/>
          <w:sz w:val="24"/>
          <w:szCs w:val="24"/>
        </w:rPr>
      </w:pPr>
      <w:r w:rsidRPr="006D7A21">
        <w:rPr>
          <w:b/>
          <w:w w:val="100"/>
          <w:sz w:val="24"/>
          <w:szCs w:val="24"/>
        </w:rPr>
        <w:t>§ 456.00</w:t>
      </w:r>
      <w:r>
        <w:rPr>
          <w:b/>
          <w:w w:val="100"/>
          <w:sz w:val="24"/>
          <w:szCs w:val="24"/>
        </w:rPr>
        <w:t>5</w:t>
      </w:r>
      <w:r w:rsidRPr="006D7A21">
        <w:rPr>
          <w:b/>
          <w:w w:val="100"/>
          <w:sz w:val="24"/>
          <w:szCs w:val="24"/>
        </w:rPr>
        <w:t xml:space="preserve">  </w:t>
      </w:r>
      <w:r>
        <w:rPr>
          <w:b/>
          <w:w w:val="100"/>
          <w:sz w:val="24"/>
          <w:szCs w:val="24"/>
        </w:rPr>
        <w:t>Rules</w:t>
      </w:r>
    </w:p>
    <w:p w:rsidR="00545E14" w:rsidRDefault="00545E14" w:rsidP="004310B3">
      <w:pPr>
        <w:pStyle w:val="para"/>
        <w:widowControl/>
        <w:tabs>
          <w:tab w:val="right" w:leader="underscore" w:pos="9000"/>
        </w:tabs>
        <w:spacing w:before="0" w:after="200" w:line="240" w:lineRule="auto"/>
        <w:ind w:firstLine="619"/>
        <w:jc w:val="left"/>
        <w:rPr>
          <w:w w:val="100"/>
          <w:sz w:val="24"/>
          <w:szCs w:val="24"/>
        </w:rPr>
      </w:pPr>
      <w:r w:rsidRPr="00545E14">
        <w:rPr>
          <w:w w:val="100"/>
          <w:sz w:val="24"/>
          <w:szCs w:val="24"/>
        </w:rPr>
        <w:t>The supreme court may adopt rules regarding the administration of funds in a trust or escrow account subject to this chapter</w:t>
      </w:r>
      <w:r w:rsidRPr="0055210A">
        <w:rPr>
          <w:w w:val="100"/>
          <w:sz w:val="24"/>
          <w:szCs w:val="24"/>
        </w:rPr>
        <w:t>.</w:t>
      </w:r>
    </w:p>
    <w:p w:rsidR="006D7A21" w:rsidRPr="006D7A21" w:rsidRDefault="006D7A21" w:rsidP="004310B3">
      <w:pPr>
        <w:pStyle w:val="para"/>
        <w:widowControl/>
        <w:tabs>
          <w:tab w:val="right" w:leader="underscore" w:pos="9000"/>
        </w:tabs>
        <w:spacing w:before="0" w:after="200" w:line="240" w:lineRule="auto"/>
        <w:jc w:val="left"/>
        <w:rPr>
          <w:w w:val="100"/>
          <w:sz w:val="24"/>
          <w:szCs w:val="24"/>
        </w:rPr>
      </w:pPr>
    </w:p>
    <w:sectPr w:rsidR="006D7A21" w:rsidRPr="006D7A21" w:rsidSect="00224191">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83534" w:rsidRDefault="00C83534">
      <w:r>
        <w:separator/>
      </w:r>
    </w:p>
  </w:endnote>
  <w:endnote w:type="continuationSeparator" w:id="0">
    <w:p w:rsidR="00C83534" w:rsidRDefault="00C835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83534" w:rsidRDefault="00C83534">
      <w:r>
        <w:separator/>
      </w:r>
    </w:p>
  </w:footnote>
  <w:footnote w:type="continuationSeparator" w:id="0">
    <w:p w:rsidR="00C83534" w:rsidRDefault="00C835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54360638">
    <w:abstractNumId w:val="8"/>
  </w:num>
  <w:num w:numId="2" w16cid:durableId="1466779472">
    <w:abstractNumId w:val="8"/>
  </w:num>
  <w:num w:numId="3" w16cid:durableId="901721068">
    <w:abstractNumId w:val="3"/>
  </w:num>
  <w:num w:numId="4" w16cid:durableId="1032876042">
    <w:abstractNumId w:val="3"/>
  </w:num>
  <w:num w:numId="5" w16cid:durableId="1576086508">
    <w:abstractNumId w:val="9"/>
  </w:num>
  <w:num w:numId="6" w16cid:durableId="1904091">
    <w:abstractNumId w:val="9"/>
  </w:num>
  <w:num w:numId="7" w16cid:durableId="12391009">
    <w:abstractNumId w:val="7"/>
  </w:num>
  <w:num w:numId="8" w16cid:durableId="668405799">
    <w:abstractNumId w:val="7"/>
  </w:num>
  <w:num w:numId="9" w16cid:durableId="243497682">
    <w:abstractNumId w:val="13"/>
  </w:num>
  <w:num w:numId="10" w16cid:durableId="288587528">
    <w:abstractNumId w:val="15"/>
  </w:num>
  <w:num w:numId="11" w16cid:durableId="1416590845">
    <w:abstractNumId w:val="8"/>
  </w:num>
  <w:num w:numId="12" w16cid:durableId="1567958443">
    <w:abstractNumId w:val="3"/>
  </w:num>
  <w:num w:numId="13" w16cid:durableId="1119448777">
    <w:abstractNumId w:val="9"/>
  </w:num>
  <w:num w:numId="14" w16cid:durableId="1856797193">
    <w:abstractNumId w:val="7"/>
  </w:num>
  <w:num w:numId="15" w16cid:durableId="1112172070">
    <w:abstractNumId w:val="6"/>
  </w:num>
  <w:num w:numId="16" w16cid:durableId="742144451">
    <w:abstractNumId w:val="5"/>
  </w:num>
  <w:num w:numId="17" w16cid:durableId="1816946269">
    <w:abstractNumId w:val="4"/>
  </w:num>
  <w:num w:numId="18" w16cid:durableId="718895839">
    <w:abstractNumId w:val="2"/>
  </w:num>
  <w:num w:numId="19" w16cid:durableId="698818101">
    <w:abstractNumId w:val="1"/>
  </w:num>
  <w:num w:numId="20" w16cid:durableId="858666970">
    <w:abstractNumId w:val="0"/>
  </w:num>
  <w:num w:numId="21" w16cid:durableId="1140801612">
    <w:abstractNumId w:val="11"/>
  </w:num>
  <w:num w:numId="22" w16cid:durableId="553926847">
    <w:abstractNumId w:val="12"/>
  </w:num>
  <w:num w:numId="23" w16cid:durableId="894008135">
    <w:abstractNumId w:val="14"/>
  </w:num>
  <w:num w:numId="24" w16cid:durableId="1789199077">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563634035">
    <w:abstractNumId w:val="10"/>
    <w:lvlOverride w:ilvl="0">
      <w:lvl w:ilvl="0">
        <w:start w:val="1"/>
        <w:numFmt w:val="bullet"/>
        <w:lvlText w:val="["/>
        <w:legacy w:legacy="1" w:legacySpace="0" w:legacyIndent="0"/>
        <w:lvlJc w:val="center"/>
        <w:pPr>
          <w:ind w:left="0" w:firstLine="0"/>
        </w:pPr>
        <w:rPr>
          <w:rFonts w:ascii="Times New Roman" w:hAnsi="Times New Roman" w:cs="Times New Roman" w:hint="default"/>
          <w:b w:val="0"/>
          <w:i w:val="0"/>
          <w:strike w:val="0"/>
          <w:color w:val="FF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oNotTrackFormatting/>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TBBForm" w:val="FORM131.docx"/>
    <w:docVar w:name="TBBStampDate" w:val="05-14-2026"/>
    <w:docVar w:name="TBBVer" w:val="docx"/>
    <w:docVar w:name="TBBYear" w:val="2026"/>
  </w:docVars>
  <w:rsids>
    <w:rsidRoot w:val="00224191"/>
    <w:rsid w:val="00002243"/>
    <w:rsid w:val="00006704"/>
    <w:rsid w:val="00035105"/>
    <w:rsid w:val="0004285B"/>
    <w:rsid w:val="00055419"/>
    <w:rsid w:val="00056210"/>
    <w:rsid w:val="00060D09"/>
    <w:rsid w:val="00075517"/>
    <w:rsid w:val="000A5288"/>
    <w:rsid w:val="000A6DC7"/>
    <w:rsid w:val="000B0F31"/>
    <w:rsid w:val="000B259E"/>
    <w:rsid w:val="000D0833"/>
    <w:rsid w:val="000D5936"/>
    <w:rsid w:val="000F7495"/>
    <w:rsid w:val="00103258"/>
    <w:rsid w:val="00124EC7"/>
    <w:rsid w:val="001357DF"/>
    <w:rsid w:val="00166F35"/>
    <w:rsid w:val="00167635"/>
    <w:rsid w:val="001B010A"/>
    <w:rsid w:val="001B4977"/>
    <w:rsid w:val="001C7034"/>
    <w:rsid w:val="001D113B"/>
    <w:rsid w:val="00205E57"/>
    <w:rsid w:val="00212AD4"/>
    <w:rsid w:val="00220537"/>
    <w:rsid w:val="00221D27"/>
    <w:rsid w:val="00224191"/>
    <w:rsid w:val="0026721D"/>
    <w:rsid w:val="002733D1"/>
    <w:rsid w:val="00275556"/>
    <w:rsid w:val="002904BE"/>
    <w:rsid w:val="002C1959"/>
    <w:rsid w:val="002C211D"/>
    <w:rsid w:val="002C3E97"/>
    <w:rsid w:val="002C456D"/>
    <w:rsid w:val="002D4648"/>
    <w:rsid w:val="002D4815"/>
    <w:rsid w:val="002F4B1D"/>
    <w:rsid w:val="00300E00"/>
    <w:rsid w:val="003035D2"/>
    <w:rsid w:val="003119E6"/>
    <w:rsid w:val="00313D85"/>
    <w:rsid w:val="00320622"/>
    <w:rsid w:val="00332949"/>
    <w:rsid w:val="00382C39"/>
    <w:rsid w:val="00385003"/>
    <w:rsid w:val="003864FA"/>
    <w:rsid w:val="00386B7C"/>
    <w:rsid w:val="0039278E"/>
    <w:rsid w:val="003933C2"/>
    <w:rsid w:val="00397006"/>
    <w:rsid w:val="00397661"/>
    <w:rsid w:val="003A1D8C"/>
    <w:rsid w:val="003B30F9"/>
    <w:rsid w:val="003C0B1C"/>
    <w:rsid w:val="003D7347"/>
    <w:rsid w:val="003E1B11"/>
    <w:rsid w:val="0040260B"/>
    <w:rsid w:val="004031E7"/>
    <w:rsid w:val="00417CAA"/>
    <w:rsid w:val="004217A3"/>
    <w:rsid w:val="004310B3"/>
    <w:rsid w:val="0046632A"/>
    <w:rsid w:val="004A1988"/>
    <w:rsid w:val="004A439E"/>
    <w:rsid w:val="004C7340"/>
    <w:rsid w:val="004D7E2D"/>
    <w:rsid w:val="004E343B"/>
    <w:rsid w:val="004F6E30"/>
    <w:rsid w:val="004F7265"/>
    <w:rsid w:val="005038A4"/>
    <w:rsid w:val="005140F1"/>
    <w:rsid w:val="0054029D"/>
    <w:rsid w:val="00545E14"/>
    <w:rsid w:val="00551332"/>
    <w:rsid w:val="0055210A"/>
    <w:rsid w:val="00562AB8"/>
    <w:rsid w:val="0056511D"/>
    <w:rsid w:val="00570333"/>
    <w:rsid w:val="00574113"/>
    <w:rsid w:val="00582F0A"/>
    <w:rsid w:val="005906DA"/>
    <w:rsid w:val="005967D5"/>
    <w:rsid w:val="005B3021"/>
    <w:rsid w:val="005B4AE9"/>
    <w:rsid w:val="005B683D"/>
    <w:rsid w:val="005C4081"/>
    <w:rsid w:val="00607DAB"/>
    <w:rsid w:val="006161C4"/>
    <w:rsid w:val="006213A8"/>
    <w:rsid w:val="00630A0B"/>
    <w:rsid w:val="0063484A"/>
    <w:rsid w:val="006546C9"/>
    <w:rsid w:val="00662FDF"/>
    <w:rsid w:val="00676127"/>
    <w:rsid w:val="00680E59"/>
    <w:rsid w:val="006959A6"/>
    <w:rsid w:val="006C0869"/>
    <w:rsid w:val="006C1BBF"/>
    <w:rsid w:val="006C2810"/>
    <w:rsid w:val="006D14DF"/>
    <w:rsid w:val="006D7A21"/>
    <w:rsid w:val="0070594F"/>
    <w:rsid w:val="00720F84"/>
    <w:rsid w:val="00746473"/>
    <w:rsid w:val="00763BF6"/>
    <w:rsid w:val="00767ED8"/>
    <w:rsid w:val="00795CB0"/>
    <w:rsid w:val="00797B9A"/>
    <w:rsid w:val="007A39D0"/>
    <w:rsid w:val="007B3D60"/>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575EE"/>
    <w:rsid w:val="00877F53"/>
    <w:rsid w:val="008B3F1F"/>
    <w:rsid w:val="008D3F7D"/>
    <w:rsid w:val="008D602D"/>
    <w:rsid w:val="008F416C"/>
    <w:rsid w:val="008F41A5"/>
    <w:rsid w:val="00903348"/>
    <w:rsid w:val="0091513C"/>
    <w:rsid w:val="00937698"/>
    <w:rsid w:val="00940364"/>
    <w:rsid w:val="009518AF"/>
    <w:rsid w:val="00965A52"/>
    <w:rsid w:val="00972268"/>
    <w:rsid w:val="00986BE4"/>
    <w:rsid w:val="009A2FE8"/>
    <w:rsid w:val="009A6AEF"/>
    <w:rsid w:val="009A7C45"/>
    <w:rsid w:val="009B25C8"/>
    <w:rsid w:val="009C6567"/>
    <w:rsid w:val="009D367E"/>
    <w:rsid w:val="009D67CE"/>
    <w:rsid w:val="009E048A"/>
    <w:rsid w:val="009E7862"/>
    <w:rsid w:val="009F1B69"/>
    <w:rsid w:val="00A026BD"/>
    <w:rsid w:val="00A0583D"/>
    <w:rsid w:val="00A10E2C"/>
    <w:rsid w:val="00A156B5"/>
    <w:rsid w:val="00A17A2F"/>
    <w:rsid w:val="00A34BDC"/>
    <w:rsid w:val="00AA3BA1"/>
    <w:rsid w:val="00AA74A2"/>
    <w:rsid w:val="00AB3BCD"/>
    <w:rsid w:val="00AB5F9F"/>
    <w:rsid w:val="00AE05F0"/>
    <w:rsid w:val="00AE61F5"/>
    <w:rsid w:val="00B069AB"/>
    <w:rsid w:val="00B12519"/>
    <w:rsid w:val="00B157A8"/>
    <w:rsid w:val="00B15C0D"/>
    <w:rsid w:val="00B17021"/>
    <w:rsid w:val="00B22777"/>
    <w:rsid w:val="00B46CEE"/>
    <w:rsid w:val="00B52D6A"/>
    <w:rsid w:val="00B53927"/>
    <w:rsid w:val="00B55787"/>
    <w:rsid w:val="00B60E5E"/>
    <w:rsid w:val="00BA13C4"/>
    <w:rsid w:val="00BA563F"/>
    <w:rsid w:val="00BE2E17"/>
    <w:rsid w:val="00C04F3D"/>
    <w:rsid w:val="00C05BAE"/>
    <w:rsid w:val="00C1069F"/>
    <w:rsid w:val="00C16AEA"/>
    <w:rsid w:val="00C445FE"/>
    <w:rsid w:val="00C53FF7"/>
    <w:rsid w:val="00C83534"/>
    <w:rsid w:val="00CA5BD5"/>
    <w:rsid w:val="00CB155D"/>
    <w:rsid w:val="00CC3AE9"/>
    <w:rsid w:val="00CC5C2E"/>
    <w:rsid w:val="00CD0F81"/>
    <w:rsid w:val="00CD150A"/>
    <w:rsid w:val="00CF7073"/>
    <w:rsid w:val="00D25F76"/>
    <w:rsid w:val="00D2766B"/>
    <w:rsid w:val="00D35A20"/>
    <w:rsid w:val="00D47494"/>
    <w:rsid w:val="00D562D6"/>
    <w:rsid w:val="00D72098"/>
    <w:rsid w:val="00D93A2E"/>
    <w:rsid w:val="00D94635"/>
    <w:rsid w:val="00D957EF"/>
    <w:rsid w:val="00D96D86"/>
    <w:rsid w:val="00DA05D8"/>
    <w:rsid w:val="00DB22E2"/>
    <w:rsid w:val="00DB48F2"/>
    <w:rsid w:val="00DC4601"/>
    <w:rsid w:val="00DF64BF"/>
    <w:rsid w:val="00E17361"/>
    <w:rsid w:val="00E5432D"/>
    <w:rsid w:val="00E7012A"/>
    <w:rsid w:val="00E73E00"/>
    <w:rsid w:val="00E8508F"/>
    <w:rsid w:val="00E90259"/>
    <w:rsid w:val="00E95688"/>
    <w:rsid w:val="00EF0713"/>
    <w:rsid w:val="00EF3BC1"/>
    <w:rsid w:val="00F1261B"/>
    <w:rsid w:val="00F22B3D"/>
    <w:rsid w:val="00F41A67"/>
    <w:rsid w:val="00F6777D"/>
    <w:rsid w:val="00F72310"/>
    <w:rsid w:val="00F7316E"/>
    <w:rsid w:val="00F75F04"/>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B0D4D89-4AB0-4059-AE54-0094031D8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224191"/>
    <w:rPr>
      <w:sz w:val="24"/>
      <w:szCs w:val="24"/>
    </w:rPr>
  </w:style>
  <w:style w:type="paragraph" w:styleId="Heading1">
    <w:name w:val="heading 1"/>
    <w:basedOn w:val="Normal"/>
    <w:next w:val="Normal"/>
    <w:uiPriority w:val="1"/>
    <w:qFormat/>
    <w:rsid w:val="00224191"/>
    <w:pPr>
      <w:keepNext/>
      <w:spacing w:before="240" w:after="60"/>
      <w:outlineLvl w:val="0"/>
    </w:pPr>
    <w:rPr>
      <w:b/>
      <w:bCs/>
      <w:kern w:val="32"/>
      <w:szCs w:val="32"/>
    </w:rPr>
  </w:style>
  <w:style w:type="paragraph" w:styleId="Heading2">
    <w:name w:val="heading 2"/>
    <w:basedOn w:val="Normal"/>
    <w:next w:val="Normal"/>
    <w:uiPriority w:val="1"/>
    <w:qFormat/>
    <w:rsid w:val="00224191"/>
    <w:pPr>
      <w:keepNext/>
      <w:spacing w:before="240" w:after="60"/>
      <w:outlineLvl w:val="1"/>
    </w:pPr>
    <w:rPr>
      <w:b/>
      <w:bCs/>
      <w:iCs/>
      <w:szCs w:val="28"/>
    </w:rPr>
  </w:style>
  <w:style w:type="paragraph" w:styleId="Heading3">
    <w:name w:val="heading 3"/>
    <w:basedOn w:val="Normal"/>
    <w:next w:val="Normal"/>
    <w:uiPriority w:val="1"/>
    <w:qFormat/>
    <w:rsid w:val="00224191"/>
    <w:pPr>
      <w:spacing w:before="240" w:after="60"/>
      <w:outlineLvl w:val="2"/>
    </w:pPr>
    <w:rPr>
      <w:b/>
      <w:bCs/>
      <w:szCs w:val="26"/>
    </w:rPr>
  </w:style>
  <w:style w:type="paragraph" w:styleId="Heading4">
    <w:name w:val="heading 4"/>
    <w:basedOn w:val="Normal"/>
    <w:next w:val="Normal"/>
    <w:uiPriority w:val="1"/>
    <w:qFormat/>
    <w:rsid w:val="00224191"/>
    <w:pPr>
      <w:spacing w:before="240" w:after="60"/>
      <w:outlineLvl w:val="3"/>
    </w:pPr>
    <w:rPr>
      <w:b/>
      <w:bCs/>
      <w:szCs w:val="28"/>
    </w:rPr>
  </w:style>
  <w:style w:type="paragraph" w:styleId="Heading5">
    <w:name w:val="heading 5"/>
    <w:basedOn w:val="Normal"/>
    <w:next w:val="Normal"/>
    <w:uiPriority w:val="1"/>
    <w:qFormat/>
    <w:rsid w:val="00224191"/>
    <w:pPr>
      <w:spacing w:before="240" w:after="60"/>
      <w:outlineLvl w:val="4"/>
    </w:pPr>
    <w:rPr>
      <w:b/>
      <w:bCs/>
      <w:iCs/>
      <w:szCs w:val="26"/>
    </w:rPr>
  </w:style>
  <w:style w:type="paragraph" w:styleId="Heading6">
    <w:name w:val="heading 6"/>
    <w:basedOn w:val="Normal"/>
    <w:next w:val="Normal"/>
    <w:uiPriority w:val="1"/>
    <w:qFormat/>
    <w:rsid w:val="00224191"/>
    <w:pPr>
      <w:spacing w:before="240" w:after="60"/>
      <w:outlineLvl w:val="5"/>
    </w:pPr>
    <w:rPr>
      <w:b/>
      <w:bCs/>
      <w:szCs w:val="22"/>
    </w:rPr>
  </w:style>
  <w:style w:type="paragraph" w:styleId="Heading7">
    <w:name w:val="heading 7"/>
    <w:basedOn w:val="Normal"/>
    <w:next w:val="Normal"/>
    <w:uiPriority w:val="1"/>
    <w:qFormat/>
    <w:rsid w:val="00224191"/>
    <w:pPr>
      <w:spacing w:before="240" w:after="60"/>
      <w:outlineLvl w:val="6"/>
    </w:pPr>
    <w:rPr>
      <w:b/>
    </w:rPr>
  </w:style>
  <w:style w:type="paragraph" w:styleId="Heading8">
    <w:name w:val="heading 8"/>
    <w:basedOn w:val="Normal"/>
    <w:next w:val="Normal"/>
    <w:uiPriority w:val="1"/>
    <w:qFormat/>
    <w:rsid w:val="00224191"/>
    <w:pPr>
      <w:spacing w:before="240" w:after="60"/>
      <w:outlineLvl w:val="7"/>
    </w:pPr>
    <w:rPr>
      <w:b/>
      <w:iCs/>
    </w:rPr>
  </w:style>
  <w:style w:type="paragraph" w:styleId="Heading9">
    <w:name w:val="heading 9"/>
    <w:basedOn w:val="Normal"/>
    <w:next w:val="Normal"/>
    <w:uiPriority w:val="2"/>
    <w:qFormat/>
    <w:rsid w:val="00224191"/>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224191"/>
    <w:pPr>
      <w:spacing w:after="240"/>
    </w:pPr>
    <w:rPr>
      <w:szCs w:val="20"/>
    </w:rPr>
  </w:style>
  <w:style w:type="paragraph" w:styleId="Quote">
    <w:name w:val="Quote"/>
    <w:basedOn w:val="BodyText"/>
    <w:uiPriority w:val="2"/>
    <w:qFormat/>
    <w:rsid w:val="00224191"/>
    <w:pPr>
      <w:ind w:left="1440" w:right="1440"/>
    </w:pPr>
  </w:style>
  <w:style w:type="paragraph" w:customStyle="1" w:styleId="BodyTextContinued">
    <w:name w:val="Body Text Continued"/>
    <w:basedOn w:val="BodyText"/>
    <w:next w:val="BodyText"/>
    <w:rsid w:val="00224191"/>
  </w:style>
  <w:style w:type="paragraph" w:styleId="TOC1">
    <w:name w:val="toc 1"/>
    <w:basedOn w:val="Normal"/>
    <w:next w:val="Normal"/>
    <w:autoRedefine/>
    <w:uiPriority w:val="2"/>
    <w:rsid w:val="00224191"/>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224191"/>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224191"/>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224191"/>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224191"/>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224191"/>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224191"/>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224191"/>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224191"/>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224191"/>
    <w:pPr>
      <w:numPr>
        <w:numId w:val="9"/>
      </w:numPr>
    </w:pPr>
  </w:style>
  <w:style w:type="paragraph" w:styleId="ListNumber2">
    <w:name w:val="List Number 2"/>
    <w:basedOn w:val="BodyText"/>
    <w:uiPriority w:val="1"/>
    <w:rsid w:val="00224191"/>
    <w:pPr>
      <w:numPr>
        <w:numId w:val="10"/>
      </w:numPr>
    </w:pPr>
  </w:style>
  <w:style w:type="paragraph" w:styleId="ListBullet">
    <w:name w:val="List Bullet"/>
    <w:basedOn w:val="BodyText"/>
    <w:uiPriority w:val="1"/>
    <w:rsid w:val="00224191"/>
    <w:pPr>
      <w:numPr>
        <w:numId w:val="5"/>
      </w:numPr>
      <w:tabs>
        <w:tab w:val="left" w:pos="1440"/>
      </w:tabs>
    </w:pPr>
    <w:rPr>
      <w:szCs w:val="24"/>
    </w:rPr>
  </w:style>
  <w:style w:type="paragraph" w:styleId="ListBullet2">
    <w:name w:val="List Bullet 2"/>
    <w:basedOn w:val="BodyText"/>
    <w:uiPriority w:val="1"/>
    <w:rsid w:val="00224191"/>
    <w:pPr>
      <w:numPr>
        <w:numId w:val="7"/>
      </w:numPr>
      <w:tabs>
        <w:tab w:val="clear" w:pos="1440"/>
        <w:tab w:val="left" w:pos="720"/>
      </w:tabs>
      <w:ind w:left="720"/>
    </w:pPr>
    <w:rPr>
      <w:szCs w:val="24"/>
    </w:rPr>
  </w:style>
  <w:style w:type="paragraph" w:styleId="Header">
    <w:name w:val="header"/>
    <w:basedOn w:val="Normal"/>
    <w:uiPriority w:val="1"/>
    <w:rsid w:val="00224191"/>
    <w:pPr>
      <w:tabs>
        <w:tab w:val="center" w:pos="4680"/>
        <w:tab w:val="right" w:pos="9360"/>
      </w:tabs>
    </w:pPr>
  </w:style>
  <w:style w:type="paragraph" w:styleId="Footer">
    <w:name w:val="footer"/>
    <w:basedOn w:val="Normal"/>
    <w:rsid w:val="00224191"/>
    <w:pPr>
      <w:tabs>
        <w:tab w:val="center" w:pos="4680"/>
        <w:tab w:val="right" w:pos="9360"/>
      </w:tabs>
    </w:pPr>
  </w:style>
  <w:style w:type="table" w:styleId="TableGrid">
    <w:name w:val="Table Grid"/>
    <w:basedOn w:val="TableNormal"/>
    <w:rsid w:val="002241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224191"/>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224191"/>
    <w:rPr>
      <w:rFonts w:ascii="Times New Roman Bold" w:hAnsi="Times New Roman Bold" w:cs="Arial"/>
      <w:b/>
      <w:vanish/>
      <w:color w:val="FF0000"/>
    </w:rPr>
  </w:style>
  <w:style w:type="paragraph" w:customStyle="1" w:styleId="Formhidden">
    <w:name w:val="Form_hidden"/>
    <w:rsid w:val="00224191"/>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224191"/>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224191"/>
    <w:rPr>
      <w:sz w:val="20"/>
      <w:szCs w:val="20"/>
    </w:rPr>
  </w:style>
  <w:style w:type="paragraph" w:customStyle="1" w:styleId="Titlehidden">
    <w:name w:val="Title_hidden"/>
    <w:uiPriority w:val="99"/>
    <w:qFormat/>
    <w:rsid w:val="00224191"/>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224191"/>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224191"/>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224191"/>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224191"/>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22419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224191"/>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224191"/>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224191"/>
    <w:rPr>
      <w:rFonts w:ascii="Arial" w:hAnsi="Arial"/>
      <w:i/>
      <w:vanish/>
      <w:color w:val="FF0000"/>
      <w:szCs w:val="24"/>
    </w:rPr>
  </w:style>
  <w:style w:type="paragraph" w:customStyle="1" w:styleId="MnLevel4hidden">
    <w:name w:val="MnLevel4_hidden"/>
    <w:uiPriority w:val="2"/>
    <w:rsid w:val="00224191"/>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224191"/>
    <w:pPr>
      <w:spacing w:after="240"/>
      <w:ind w:right="5760"/>
    </w:pPr>
    <w:rPr>
      <w:rFonts w:ascii="Arial" w:hAnsi="Arial" w:cs="Arial"/>
      <w:i/>
      <w:vanish/>
      <w:color w:val="FF0000"/>
    </w:rPr>
  </w:style>
  <w:style w:type="paragraph" w:customStyle="1" w:styleId="MnListnhidden">
    <w:name w:val="MnList_n_hidden"/>
    <w:uiPriority w:val="2"/>
    <w:rsid w:val="0022419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22419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224191"/>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22419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224191"/>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224191"/>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224191"/>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224191"/>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224191"/>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22419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22419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22419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224191"/>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224191"/>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224191"/>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22419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224191"/>
    <w:rPr>
      <w:vanish/>
      <w:sz w:val="4"/>
      <w:szCs w:val="24"/>
    </w:rPr>
  </w:style>
  <w:style w:type="paragraph" w:customStyle="1" w:styleId="clausetitlehidden">
    <w:name w:val="clause_title_hidden"/>
    <w:basedOn w:val="Normal"/>
    <w:uiPriority w:val="2"/>
    <w:qFormat/>
    <w:rsid w:val="00224191"/>
    <w:pPr>
      <w:spacing w:after="240"/>
      <w:ind w:left="720" w:hanging="720"/>
    </w:pPr>
    <w:rPr>
      <w:i/>
      <w:vanish/>
      <w:color w:val="FF0000"/>
    </w:rPr>
  </w:style>
  <w:style w:type="paragraph" w:customStyle="1" w:styleId="clausenumberhidden">
    <w:name w:val="clause_number_hidden"/>
    <w:basedOn w:val="Normal"/>
    <w:uiPriority w:val="2"/>
    <w:qFormat/>
    <w:rsid w:val="00224191"/>
    <w:pPr>
      <w:spacing w:after="240"/>
    </w:pPr>
    <w:rPr>
      <w:rFonts w:ascii="Arial" w:hAnsi="Arial"/>
      <w:b/>
      <w:i/>
      <w:vanish/>
      <w:color w:val="FF0000"/>
      <w:sz w:val="20"/>
    </w:rPr>
  </w:style>
  <w:style w:type="paragraph" w:customStyle="1" w:styleId="TitleBeforeSubhidden">
    <w:name w:val="TitleBeforeSub_hidden"/>
    <w:uiPriority w:val="2"/>
    <w:qFormat/>
    <w:rsid w:val="00224191"/>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224191"/>
  </w:style>
  <w:style w:type="paragraph" w:customStyle="1" w:styleId="TitleBeforeSub">
    <w:name w:val="TitleBeforeSub"/>
    <w:uiPriority w:val="2"/>
    <w:qFormat/>
    <w:rsid w:val="00224191"/>
    <w:pPr>
      <w:keepNext/>
      <w:widowControl w:val="0"/>
      <w:suppressAutoHyphens/>
      <w:spacing w:line="340" w:lineRule="atLeast"/>
      <w:jc w:val="center"/>
    </w:pPr>
    <w:rPr>
      <w:b/>
      <w:sz w:val="28"/>
      <w:szCs w:val="24"/>
    </w:rPr>
  </w:style>
  <w:style w:type="paragraph" w:customStyle="1" w:styleId="TableAnchor">
    <w:name w:val="TableAnchor"/>
    <w:uiPriority w:val="99"/>
    <w:rsid w:val="00224191"/>
    <w:pPr>
      <w:tabs>
        <w:tab w:val="right" w:leader="underscore" w:pos="9000"/>
      </w:tabs>
      <w:autoSpaceDE w:val="0"/>
      <w:autoSpaceDN w:val="0"/>
      <w:adjustRightInd w:val="0"/>
      <w:ind w:firstLine="620"/>
    </w:pPr>
    <w:rPr>
      <w:color w:val="000000"/>
      <w:w w:val="0"/>
      <w:sz w:val="4"/>
      <w:szCs w:val="4"/>
    </w:rPr>
  </w:style>
  <w:style w:type="paragraph" w:customStyle="1" w:styleId="para">
    <w:name w:val="para"/>
    <w:uiPriority w:val="99"/>
    <w:rsid w:val="00224191"/>
    <w:pPr>
      <w:widowControl w:val="0"/>
      <w:autoSpaceDE w:val="0"/>
      <w:autoSpaceDN w:val="0"/>
      <w:adjustRightInd w:val="0"/>
      <w:spacing w:before="100" w:after="100" w:line="240" w:lineRule="atLeast"/>
      <w:jc w:val="both"/>
    </w:pPr>
    <w:rPr>
      <w:color w:val="000000"/>
      <w:w w:val="0"/>
    </w:rPr>
  </w:style>
  <w:style w:type="character" w:customStyle="1" w:styleId="substitute">
    <w:name w:val="substitute"/>
    <w:uiPriority w:val="99"/>
    <w:rsid w:val="00972268"/>
    <w:rPr>
      <w:rFonts w:ascii="Arial" w:hAnsi="Arial" w:cs="Arial"/>
      <w:b/>
      <w:bCs/>
      <w:sz w:val="20"/>
      <w:szCs w:val="20"/>
    </w:rPr>
  </w:style>
  <w:style w:type="paragraph" w:styleId="BalloonText">
    <w:name w:val="Balloon Text"/>
    <w:basedOn w:val="Normal"/>
    <w:link w:val="BalloonTextChar"/>
    <w:rsid w:val="009B25C8"/>
    <w:rPr>
      <w:rFonts w:ascii="Segoe UI" w:hAnsi="Segoe UI" w:cs="Segoe UI"/>
      <w:sz w:val="18"/>
      <w:szCs w:val="18"/>
    </w:rPr>
  </w:style>
  <w:style w:type="character" w:customStyle="1" w:styleId="BalloonTextChar">
    <w:name w:val="Balloon Text Char"/>
    <w:link w:val="BalloonText"/>
    <w:rsid w:val="009B25C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4100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13" ma:contentTypeDescription="Create a new document." ma:contentTypeScope="" ma:versionID="51c0a265de0fd6e0a1e687b3695a0e67">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08b064bdfc147e9976147b1e2a1262ed"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01200833-513A-49B0-82D3-885F40381A1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95F628B-EC23-4561-8327-4BE53BFFD7A0}">
  <ds:schemaRefs>
    <ds:schemaRef ds:uri="http://schemas.microsoft.com/sharepoint/v3/contenttype/forms"/>
  </ds:schemaRefs>
</ds:datastoreItem>
</file>

<file path=customXml/itemProps3.xml><?xml version="1.0" encoding="utf-8"?>
<ds:datastoreItem xmlns:ds="http://schemas.openxmlformats.org/officeDocument/2006/customXml" ds:itemID="{206E7AF9-A2D3-4351-A740-4E458CFE24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D8CC919-C3C6-4F2C-953A-89080A285023}">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465</Words>
  <Characters>2656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3115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5</cp:revision>
  <cp:lastPrinted>2018-03-27T12:39:00Z</cp:lastPrinted>
  <dcterms:created xsi:type="dcterms:W3CDTF">2021-12-10T16:15:00Z</dcterms:created>
  <dcterms:modified xsi:type="dcterms:W3CDTF">2026-05-14T15:17:00Z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27269000.0000000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ies>
</file>