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77D51" w14:textId="77777777" w:rsidR="000201B6" w:rsidRPr="000201B6" w:rsidRDefault="000201B6" w:rsidP="00AD7D74">
      <w:pPr>
        <w:pStyle w:val="Titlehidden"/>
        <w:rPr>
          <w:sz w:val="18"/>
        </w:rPr>
      </w:pPr>
      <w:r w:rsidRPr="000201B6">
        <w:rPr>
          <w:rFonts w:ascii="Times New Roman" w:hAnsi="Times New Roman"/>
          <w:sz w:val="18"/>
        </w:rPr>
        <w:br/>
      </w:r>
      <w:r w:rsidRPr="000201B6">
        <w:rPr>
          <w:rFonts w:ascii="Times New Roman" w:hAnsi="Times New Roman"/>
          <w:sz w:val="24"/>
        </w:rPr>
        <w:t>Letter 107—Confirm Representation and Fee and Outline Anticipated Services (IBA)</w:t>
      </w:r>
      <w:r>
        <w:rPr>
          <w:rFonts w:ascii="Times New Roman" w:hAnsi="Times New Roman"/>
          <w:sz w:val="24"/>
        </w:rPr>
        <w:br/>
      </w:r>
    </w:p>
    <w:p w14:paraId="29E77D52" w14:textId="77777777" w:rsidR="000201B6" w:rsidRDefault="000201B6" w:rsidP="00AD7D74">
      <w:pPr>
        <w:pStyle w:val="UserInstructionjustifyhidden"/>
      </w:pPr>
      <w:r>
        <w:t>Address this letter jointly to all probable independent administrators and send two copies, together with a copy of the Texas Lawyer’s Creed, to each.</w:t>
      </w:r>
    </w:p>
    <w:p w14:paraId="29E77D53" w14:textId="77777777" w:rsidR="000201B6" w:rsidRDefault="00C31D68" w:rsidP="00AD7D74">
      <w:pPr>
        <w:pStyle w:val="para"/>
        <w:widowControl/>
        <w:tabs>
          <w:tab w:val="right" w:leader="underscore" w:pos="9000"/>
        </w:tabs>
        <w:spacing w:before="480" w:after="200" w:line="240" w:lineRule="auto"/>
        <w:jc w:val="left"/>
        <w:rPr>
          <w:w w:val="100"/>
          <w:sz w:val="24"/>
          <w:szCs w:val="24"/>
        </w:rPr>
      </w:pPr>
      <w:r w:rsidRPr="00C31D68">
        <w:rPr>
          <w:rStyle w:val="substitute"/>
          <w:rFonts w:ascii="Times New Roman" w:hAnsi="Times New Roman" w:cs="Times New Roman"/>
          <w:b w:val="0"/>
          <w:w w:val="100"/>
          <w:sz w:val="24"/>
        </w:rPr>
        <w:t>[</w:t>
      </w:r>
      <w:r w:rsidR="000201B6">
        <w:rPr>
          <w:rStyle w:val="substitute"/>
          <w:w w:val="100"/>
        </w:rPr>
        <w:t>Today’s date</w:t>
      </w:r>
      <w:r w:rsidRPr="00C31D68">
        <w:rPr>
          <w:rStyle w:val="substitute"/>
          <w:rFonts w:ascii="Times New Roman" w:hAnsi="Times New Roman" w:cs="Times New Roman"/>
          <w:b w:val="0"/>
          <w:w w:val="100"/>
          <w:sz w:val="24"/>
        </w:rPr>
        <w:t>]</w:t>
      </w:r>
    </w:p>
    <w:p w14:paraId="29E77D54" w14:textId="77777777" w:rsidR="000201B6" w:rsidRDefault="00C31D68" w:rsidP="00AD7D74">
      <w:pPr>
        <w:pStyle w:val="para"/>
        <w:widowControl/>
        <w:tabs>
          <w:tab w:val="right" w:leader="underscore" w:pos="9000"/>
        </w:tabs>
        <w:spacing w:before="0" w:after="200" w:line="240" w:lineRule="auto"/>
        <w:jc w:val="left"/>
        <w:rPr>
          <w:w w:val="100"/>
          <w:sz w:val="24"/>
          <w:szCs w:val="24"/>
        </w:rPr>
      </w:pPr>
      <w:r w:rsidRPr="00C31D68">
        <w:rPr>
          <w:bCs/>
          <w:w w:val="100"/>
          <w:sz w:val="24"/>
        </w:rPr>
        <w:t>[</w:t>
      </w:r>
      <w:r w:rsidR="000201B6">
        <w:rPr>
          <w:rFonts w:ascii="Arial" w:hAnsi="Arial" w:cs="Arial"/>
          <w:b/>
          <w:bCs/>
          <w:w w:val="100"/>
        </w:rPr>
        <w:t>2.45</w:t>
      </w:r>
      <w:r w:rsidR="005360CE" w:rsidRPr="005360CE">
        <w:rPr>
          <w:bCs/>
          <w:w w:val="100"/>
          <w:sz w:val="24"/>
          <w:szCs w:val="24"/>
        </w:rPr>
        <w:t>]</w:t>
      </w:r>
      <w:r w:rsidR="000201B6">
        <w:rPr>
          <w:rFonts w:ascii="Arial" w:hAnsi="Arial" w:cs="Arial"/>
          <w:b/>
          <w:bCs/>
          <w:w w:val="100"/>
        </w:rPr>
        <w:br/>
      </w:r>
      <w:r w:rsidR="005360CE" w:rsidRPr="005360CE">
        <w:rPr>
          <w:bCs/>
          <w:w w:val="100"/>
          <w:sz w:val="24"/>
          <w:szCs w:val="24"/>
        </w:rPr>
        <w:t>[</w:t>
      </w:r>
      <w:r w:rsidR="000201B6">
        <w:rPr>
          <w:rFonts w:ascii="Arial" w:hAnsi="Arial" w:cs="Arial"/>
          <w:b/>
          <w:bCs/>
          <w:w w:val="100"/>
        </w:rPr>
        <w:t>2.47</w:t>
      </w:r>
      <w:r w:rsidR="005360CE" w:rsidRPr="005360CE">
        <w:rPr>
          <w:bCs/>
          <w:w w:val="100"/>
          <w:sz w:val="24"/>
          <w:szCs w:val="24"/>
        </w:rPr>
        <w:t>]</w:t>
      </w:r>
      <w:r w:rsidR="000201B6">
        <w:rPr>
          <w:rFonts w:ascii="Arial" w:hAnsi="Arial" w:cs="Arial"/>
          <w:b/>
          <w:bCs/>
          <w:w w:val="100"/>
        </w:rPr>
        <w:br/>
      </w:r>
      <w:r w:rsidR="005360CE" w:rsidRPr="005360CE">
        <w:rPr>
          <w:bCs/>
          <w:w w:val="100"/>
          <w:sz w:val="24"/>
          <w:szCs w:val="24"/>
        </w:rPr>
        <w:t>[</w:t>
      </w:r>
      <w:r w:rsidR="000201B6">
        <w:rPr>
          <w:rFonts w:ascii="Arial" w:hAnsi="Arial" w:cs="Arial"/>
          <w:b/>
          <w:bCs/>
          <w:w w:val="100"/>
        </w:rPr>
        <w:t>2.48</w:t>
      </w:r>
      <w:r w:rsidRPr="00C31D68">
        <w:rPr>
          <w:bCs/>
          <w:w w:val="100"/>
          <w:sz w:val="24"/>
        </w:rPr>
        <w:t>]</w:t>
      </w:r>
    </w:p>
    <w:p w14:paraId="29E77D55" w14:textId="75FA4905" w:rsidR="000201B6" w:rsidRDefault="000201B6" w:rsidP="00AD7D74">
      <w:pPr>
        <w:pStyle w:val="UserInstructionjustifyhidden"/>
      </w:pPr>
      <w:r>
        <w:t>If to a corporate administrator, add “Attention: 2.61, 2.63” and change salutation to “</w:t>
      </w:r>
      <w:r w:rsidR="002428E7">
        <w:t>Greetings</w:t>
      </w:r>
      <w:r>
        <w:t>.”</w:t>
      </w:r>
    </w:p>
    <w:p w14:paraId="29E77D56" w14:textId="77777777" w:rsidR="000201B6" w:rsidRDefault="000201B6" w:rsidP="00AD7D74">
      <w:pPr>
        <w:pStyle w:val="para"/>
        <w:widowControl/>
        <w:tabs>
          <w:tab w:val="left" w:pos="620"/>
        </w:tabs>
        <w:spacing w:before="0" w:after="480" w:line="240" w:lineRule="auto"/>
        <w:ind w:left="620" w:hanging="620"/>
        <w:jc w:val="left"/>
        <w:rPr>
          <w:w w:val="100"/>
          <w:sz w:val="24"/>
          <w:szCs w:val="24"/>
        </w:rPr>
      </w:pPr>
      <w:r>
        <w:rPr>
          <w:w w:val="100"/>
          <w:sz w:val="24"/>
          <w:szCs w:val="24"/>
        </w:rPr>
        <w:t>Re:</w:t>
      </w:r>
      <w:r>
        <w:rPr>
          <w:w w:val="100"/>
          <w:sz w:val="24"/>
          <w:szCs w:val="24"/>
        </w:rPr>
        <w:tab/>
        <w:t xml:space="preserve">Estate of </w:t>
      </w:r>
      <w:r w:rsidR="00C31D68" w:rsidRPr="00C31D68">
        <w:rPr>
          <w:w w:val="100"/>
          <w:sz w:val="24"/>
          <w:szCs w:val="24"/>
        </w:rPr>
        <w:t>[</w:t>
      </w:r>
      <w:r>
        <w:rPr>
          <w:rFonts w:ascii="Arial" w:hAnsi="Arial" w:cs="Arial"/>
          <w:b/>
          <w:bCs/>
          <w:w w:val="100"/>
        </w:rPr>
        <w:t>6.02</w:t>
      </w:r>
      <w:r w:rsidR="00C31D68" w:rsidRPr="00C31D68">
        <w:rPr>
          <w:bCs/>
          <w:w w:val="100"/>
          <w:sz w:val="24"/>
        </w:rPr>
        <w:t>]</w:t>
      </w:r>
      <w:r>
        <w:rPr>
          <w:w w:val="100"/>
          <w:sz w:val="24"/>
          <w:szCs w:val="24"/>
        </w:rPr>
        <w:t>, Deceased</w:t>
      </w:r>
    </w:p>
    <w:p w14:paraId="29E77D57" w14:textId="77777777" w:rsidR="000201B6" w:rsidRDefault="000201B6" w:rsidP="00AD7D74">
      <w:pPr>
        <w:pStyle w:val="para"/>
        <w:widowControl/>
        <w:tabs>
          <w:tab w:val="right" w:leader="underscore" w:pos="9000"/>
        </w:tabs>
        <w:spacing w:before="0" w:after="200" w:line="240" w:lineRule="auto"/>
        <w:jc w:val="left"/>
        <w:rPr>
          <w:w w:val="100"/>
          <w:sz w:val="24"/>
          <w:szCs w:val="24"/>
        </w:rPr>
      </w:pPr>
      <w:r>
        <w:rPr>
          <w:w w:val="100"/>
          <w:sz w:val="24"/>
          <w:szCs w:val="24"/>
        </w:rPr>
        <w:t xml:space="preserve">Dear </w:t>
      </w:r>
      <w:r w:rsidR="00C31D68" w:rsidRPr="00C31D68">
        <w:rPr>
          <w:w w:val="100"/>
          <w:sz w:val="24"/>
          <w:szCs w:val="24"/>
        </w:rPr>
        <w:t>[</w:t>
      </w:r>
      <w:r>
        <w:rPr>
          <w:rFonts w:ascii="Arial" w:hAnsi="Arial" w:cs="Arial"/>
          <w:b/>
          <w:bCs/>
          <w:w w:val="100"/>
        </w:rPr>
        <w:t>2.46</w:t>
      </w:r>
      <w:r w:rsidR="00C31D68" w:rsidRPr="00C31D68">
        <w:rPr>
          <w:bCs/>
          <w:w w:val="100"/>
          <w:sz w:val="24"/>
        </w:rPr>
        <w:t>]</w:t>
      </w:r>
      <w:r>
        <w:rPr>
          <w:w w:val="100"/>
          <w:sz w:val="24"/>
          <w:szCs w:val="24"/>
        </w:rPr>
        <w:t>:</w:t>
      </w:r>
    </w:p>
    <w:p w14:paraId="29E77D58"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Thank you very much for employing this firm to represent you in the probate of this estate.</w:t>
      </w:r>
    </w:p>
    <w:p w14:paraId="29E77D59"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Receipt is hereby acknowledged of a cash payment of $</w:t>
      </w:r>
      <w:r w:rsidR="00C31D68" w:rsidRPr="00C31D68">
        <w:rPr>
          <w:w w:val="100"/>
          <w:sz w:val="24"/>
          <w:szCs w:val="24"/>
        </w:rPr>
        <w:t>[</w:t>
      </w:r>
      <w:r>
        <w:rPr>
          <w:rFonts w:ascii="Arial" w:hAnsi="Arial" w:cs="Arial"/>
          <w:b/>
          <w:bCs/>
          <w:w w:val="100"/>
        </w:rPr>
        <w:t>25.02D</w:t>
      </w:r>
      <w:r w:rsidR="00C31D68" w:rsidRPr="00C31D68">
        <w:rPr>
          <w:bCs/>
          <w:w w:val="100"/>
          <w:sz w:val="24"/>
        </w:rPr>
        <w:t>]</w:t>
      </w:r>
      <w:r>
        <w:rPr>
          <w:w w:val="100"/>
          <w:sz w:val="24"/>
          <w:szCs w:val="24"/>
        </w:rPr>
        <w:t>, which will be applied to the payment of expenses incurred or for legal fees due with respect to such representation. As we agreed, the fee will be [$</w:t>
      </w:r>
      <w:r w:rsidR="00C31D68" w:rsidRPr="00C31D68">
        <w:rPr>
          <w:w w:val="100"/>
          <w:sz w:val="24"/>
          <w:szCs w:val="24"/>
        </w:rPr>
        <w:t>[</w:t>
      </w:r>
      <w:r>
        <w:rPr>
          <w:rFonts w:ascii="Arial" w:hAnsi="Arial" w:cs="Arial"/>
          <w:b/>
          <w:bCs/>
          <w:w w:val="100"/>
        </w:rPr>
        <w:t>25.02A</w:t>
      </w:r>
      <w:r w:rsidR="00C31D68" w:rsidRPr="00C31D68">
        <w:rPr>
          <w:bCs/>
          <w:w w:val="100"/>
          <w:sz w:val="24"/>
        </w:rPr>
        <w:t>]</w:t>
      </w:r>
      <w:r>
        <w:rPr>
          <w:w w:val="100"/>
          <w:sz w:val="24"/>
          <w:szCs w:val="24"/>
        </w:rPr>
        <w:t>/</w:t>
      </w:r>
      <w:r w:rsidR="00C31D68" w:rsidRPr="00C31D68">
        <w:rPr>
          <w:w w:val="100"/>
          <w:sz w:val="24"/>
          <w:szCs w:val="24"/>
        </w:rPr>
        <w:t>[</w:t>
      </w:r>
      <w:r>
        <w:rPr>
          <w:rFonts w:ascii="Arial" w:hAnsi="Arial" w:cs="Arial"/>
          <w:b/>
          <w:bCs/>
          <w:w w:val="100"/>
        </w:rPr>
        <w:t>25.02B</w:t>
      </w:r>
      <w:r w:rsidR="00C31D68" w:rsidRPr="00C31D68">
        <w:rPr>
          <w:bCs/>
          <w:w w:val="100"/>
          <w:sz w:val="24"/>
        </w:rPr>
        <w:t>]</w:t>
      </w:r>
      <w:r>
        <w:rPr>
          <w:w w:val="100"/>
          <w:sz w:val="24"/>
          <w:szCs w:val="24"/>
        </w:rPr>
        <w:t xml:space="preserve"> percent of the gross estate as determined for federal estate tax purposes/based on time spent on your behalf, with hourly rates of $</w:t>
      </w:r>
      <w:r w:rsidR="00C31D68" w:rsidRPr="00C31D68">
        <w:rPr>
          <w:w w:val="100"/>
          <w:sz w:val="24"/>
          <w:szCs w:val="24"/>
        </w:rPr>
        <w:t>[</w:t>
      </w:r>
      <w:r>
        <w:rPr>
          <w:rFonts w:ascii="Arial" w:hAnsi="Arial" w:cs="Arial"/>
          <w:b/>
          <w:bCs/>
          <w:w w:val="100"/>
        </w:rPr>
        <w:t>25.02C</w:t>
      </w:r>
      <w:r w:rsidR="00C31D68" w:rsidRPr="00C31D68">
        <w:rPr>
          <w:bCs/>
          <w:w w:val="100"/>
          <w:sz w:val="24"/>
        </w:rPr>
        <w:t>]</w:t>
      </w:r>
      <w:r>
        <w:rPr>
          <w:w w:val="100"/>
          <w:sz w:val="24"/>
          <w:szCs w:val="24"/>
        </w:rPr>
        <w:t xml:space="preserve"> for attorney’s time and $</w:t>
      </w:r>
      <w:r w:rsidR="00C31D68" w:rsidRPr="00C31D68">
        <w:rPr>
          <w:w w:val="100"/>
          <w:sz w:val="24"/>
          <w:szCs w:val="24"/>
        </w:rPr>
        <w:t>[</w:t>
      </w:r>
      <w:r>
        <w:rPr>
          <w:rFonts w:ascii="Arial" w:hAnsi="Arial" w:cs="Arial"/>
          <w:b/>
          <w:bCs/>
          <w:w w:val="100"/>
        </w:rPr>
        <w:t>25.02C</w:t>
      </w:r>
      <w:r w:rsidR="00C31D68" w:rsidRPr="00C31D68">
        <w:rPr>
          <w:bCs/>
          <w:w w:val="100"/>
          <w:sz w:val="24"/>
        </w:rPr>
        <w:t>]</w:t>
      </w:r>
      <w:r>
        <w:rPr>
          <w:w w:val="100"/>
          <w:sz w:val="24"/>
          <w:szCs w:val="24"/>
        </w:rPr>
        <w:t xml:space="preserve"> for staff time]. In addition to fees for services, you are to pay or reimburse expenses incurred on your behalf. These expenses include [</w:t>
      </w:r>
      <w:r>
        <w:rPr>
          <w:rFonts w:ascii="Arial" w:hAnsi="Arial" w:cs="Arial"/>
          <w:b/>
          <w:bCs/>
          <w:w w:val="100"/>
        </w:rPr>
        <w:t xml:space="preserve">specify expenses you expect client to pay, e.g., </w:t>
      </w:r>
      <w:r>
        <w:rPr>
          <w:w w:val="100"/>
          <w:sz w:val="24"/>
          <w:szCs w:val="24"/>
        </w:rPr>
        <w:t>filing fees; recording charges; publication of notices; appraisal fees; long-distance, facsimile, and delivery charges; photocopies; and postage].</w:t>
      </w:r>
    </w:p>
    <w:p w14:paraId="29E77D5A"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The above fee is for the following services:</w:t>
      </w:r>
    </w:p>
    <w:p w14:paraId="29E77D5B"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1. </w:t>
      </w:r>
      <w:r>
        <w:rPr>
          <w:w w:val="100"/>
          <w:sz w:val="24"/>
          <w:szCs w:val="24"/>
        </w:rPr>
        <w:tab/>
        <w:t>Preparing the application for independent administration and letters of administration</w:t>
      </w:r>
    </w:p>
    <w:p w14:paraId="29E77D5C"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2. </w:t>
      </w:r>
      <w:r>
        <w:rPr>
          <w:w w:val="100"/>
          <w:sz w:val="24"/>
          <w:szCs w:val="24"/>
        </w:rPr>
        <w:tab/>
        <w:t xml:space="preserve">Preparing the application to declare heirship </w:t>
      </w:r>
    </w:p>
    <w:p w14:paraId="29E77D5D"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3. </w:t>
      </w:r>
      <w:r>
        <w:rPr>
          <w:w w:val="100"/>
          <w:sz w:val="24"/>
          <w:szCs w:val="24"/>
        </w:rPr>
        <w:tab/>
        <w:t>Arranging for the proof necessary to have the court make its determination of the people who are the proper heirs and beneficiaries</w:t>
      </w:r>
    </w:p>
    <w:p w14:paraId="29E77D5E"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4. </w:t>
      </w:r>
      <w:r>
        <w:rPr>
          <w:w w:val="100"/>
          <w:sz w:val="24"/>
          <w:szCs w:val="24"/>
        </w:rPr>
        <w:tab/>
        <w:t>Preparing distributee consents for independent administration</w:t>
      </w:r>
    </w:p>
    <w:p w14:paraId="29E77D5F"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lastRenderedPageBreak/>
        <w:t xml:space="preserve">5. </w:t>
      </w:r>
      <w:r>
        <w:rPr>
          <w:w w:val="100"/>
          <w:sz w:val="24"/>
          <w:szCs w:val="24"/>
        </w:rPr>
        <w:tab/>
        <w:t>Arranging for the proof necessary to have the independent administration and letters of administration authorized by the court</w:t>
      </w:r>
    </w:p>
    <w:p w14:paraId="29E77D60"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6. </w:t>
      </w:r>
      <w:r>
        <w:rPr>
          <w:w w:val="100"/>
          <w:sz w:val="24"/>
          <w:szCs w:val="24"/>
        </w:rPr>
        <w:tab/>
        <w:t>Appearing in court to have the heirs determined and the independent administration and letters authorized</w:t>
      </w:r>
    </w:p>
    <w:p w14:paraId="29E77D61"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7. </w:t>
      </w:r>
      <w:r>
        <w:rPr>
          <w:w w:val="100"/>
          <w:sz w:val="24"/>
          <w:szCs w:val="24"/>
        </w:rPr>
        <w:tab/>
        <w:t>Preparing the judgment declaring heirship to be signed by the judge</w:t>
      </w:r>
    </w:p>
    <w:p w14:paraId="29E77D62"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8. </w:t>
      </w:r>
      <w:r>
        <w:rPr>
          <w:w w:val="100"/>
          <w:sz w:val="24"/>
          <w:szCs w:val="24"/>
        </w:rPr>
        <w:tab/>
        <w:t>Preparing the order to be signed by the judge to authorize independent administration and letters of administration</w:t>
      </w:r>
    </w:p>
    <w:p w14:paraId="29E77D63"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9. </w:t>
      </w:r>
      <w:r>
        <w:rPr>
          <w:w w:val="100"/>
          <w:sz w:val="24"/>
          <w:szCs w:val="24"/>
        </w:rPr>
        <w:tab/>
        <w:t>Preparing and filing the oath of the administrator</w:t>
      </w:r>
    </w:p>
    <w:p w14:paraId="29E77D64"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10. </w:t>
      </w:r>
      <w:r>
        <w:rPr>
          <w:w w:val="100"/>
          <w:sz w:val="24"/>
          <w:szCs w:val="24"/>
        </w:rPr>
        <w:tab/>
        <w:t>Preparing and arranging for the publication of notice to creditors</w:t>
      </w:r>
    </w:p>
    <w:p w14:paraId="29E77D65"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11. </w:t>
      </w:r>
      <w:r>
        <w:rPr>
          <w:w w:val="100"/>
          <w:sz w:val="24"/>
          <w:szCs w:val="24"/>
        </w:rPr>
        <w:tab/>
        <w:t>Preparing and serving notices to secured creditors</w:t>
      </w:r>
    </w:p>
    <w:p w14:paraId="29E77D66"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12. </w:t>
      </w:r>
      <w:r>
        <w:rPr>
          <w:w w:val="100"/>
          <w:sz w:val="24"/>
          <w:szCs w:val="24"/>
        </w:rPr>
        <w:tab/>
        <w:t>Determining the nature, extent, and valuation of the estate</w:t>
      </w:r>
    </w:p>
    <w:p w14:paraId="29E77D67"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13. </w:t>
      </w:r>
      <w:r>
        <w:rPr>
          <w:w w:val="100"/>
          <w:sz w:val="24"/>
          <w:szCs w:val="24"/>
        </w:rPr>
        <w:tab/>
        <w:t>Preparing and filing the statutory inventory, appraisement, and list of claims or affidavit in lieu thereof and obtaining the judge’s approval of the same</w:t>
      </w:r>
    </w:p>
    <w:p w14:paraId="29E77D68"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14. </w:t>
      </w:r>
      <w:r>
        <w:rPr>
          <w:w w:val="100"/>
          <w:sz w:val="24"/>
          <w:szCs w:val="24"/>
        </w:rPr>
        <w:tab/>
        <w:t xml:space="preserve">Determining the nature and amount of the liabilities of the estate </w:t>
      </w:r>
    </w:p>
    <w:p w14:paraId="29E77D69"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15. </w:t>
      </w:r>
      <w:r>
        <w:rPr>
          <w:w w:val="100"/>
          <w:sz w:val="24"/>
          <w:szCs w:val="24"/>
        </w:rPr>
        <w:tab/>
        <w:t>Assisting in the transfer of title to all of the decedent’s assets</w:t>
      </w:r>
    </w:p>
    <w:p w14:paraId="29E77D6A" w14:textId="77777777" w:rsidR="000201B6" w:rsidRDefault="000201B6" w:rsidP="00AD7D74">
      <w:pPr>
        <w:pStyle w:val="para"/>
        <w:widowControl/>
        <w:tabs>
          <w:tab w:val="left" w:pos="1100"/>
        </w:tabs>
        <w:spacing w:before="0" w:after="200" w:line="240" w:lineRule="auto"/>
        <w:ind w:left="1100" w:hanging="480"/>
        <w:jc w:val="left"/>
        <w:rPr>
          <w:w w:val="100"/>
          <w:sz w:val="24"/>
          <w:szCs w:val="24"/>
        </w:rPr>
      </w:pPr>
      <w:r>
        <w:rPr>
          <w:w w:val="100"/>
          <w:sz w:val="24"/>
          <w:szCs w:val="24"/>
        </w:rPr>
        <w:t xml:space="preserve">16. </w:t>
      </w:r>
      <w:r>
        <w:rPr>
          <w:w w:val="100"/>
          <w:sz w:val="24"/>
          <w:szCs w:val="24"/>
        </w:rPr>
        <w:tab/>
        <w:t>Investigating, determining, calculating, allocating, or dealing with asset valuations and tax basis information</w:t>
      </w:r>
    </w:p>
    <w:p w14:paraId="29E77D6B"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With your prior approval, we may perform other services on your behalf and for additional agreed-upon fees, such as preparing and filing the United States Estate (and Generation-Skipping Transfer) Tax Return.</w:t>
      </w:r>
    </w:p>
    <w:p w14:paraId="29E77D6C" w14:textId="77777777" w:rsidR="00922401" w:rsidRPr="00922401" w:rsidRDefault="00922401" w:rsidP="00922401">
      <w:pPr>
        <w:pStyle w:val="para"/>
        <w:spacing w:before="0" w:after="200" w:line="240" w:lineRule="auto"/>
        <w:ind w:firstLine="620"/>
        <w:jc w:val="left"/>
        <w:rPr>
          <w:w w:val="100"/>
          <w:sz w:val="24"/>
          <w:szCs w:val="24"/>
        </w:rPr>
      </w:pPr>
      <w:r w:rsidRPr="00922401">
        <w:rPr>
          <w:w w:val="100"/>
          <w:sz w:val="24"/>
          <w:szCs w:val="24"/>
        </w:rPr>
        <w:t xml:space="preserve">On appointment, the administrator’s duty of care will require you to insure the estate, typically with property and liability insurance on real property, automobiles, and personal property of significant value. Decedent’s contracts and support obligations might require other insurance. Construction and unusual activities may require specialized insurance. </w:t>
      </w:r>
    </w:p>
    <w:p w14:paraId="29E77D6D" w14:textId="77777777" w:rsidR="00922401" w:rsidRPr="00922401" w:rsidRDefault="00922401" w:rsidP="00922401">
      <w:pPr>
        <w:pStyle w:val="para"/>
        <w:spacing w:before="0" w:after="200" w:line="240" w:lineRule="auto"/>
        <w:ind w:firstLine="620"/>
        <w:jc w:val="left"/>
        <w:rPr>
          <w:w w:val="100"/>
          <w:sz w:val="24"/>
          <w:szCs w:val="24"/>
        </w:rPr>
      </w:pPr>
      <w:r w:rsidRPr="00922401">
        <w:rPr>
          <w:w w:val="100"/>
          <w:sz w:val="24"/>
          <w:szCs w:val="24"/>
        </w:rPr>
        <w:t>We are not insurance experts, and you cannot rely on our insurance advice. These suggestions may not be appropriate or adequate in your situation, and we offer them only to help you start a conversation with your insurance agent.</w:t>
      </w:r>
    </w:p>
    <w:p w14:paraId="29E77D6E" w14:textId="77777777" w:rsidR="00922401" w:rsidRPr="00922401" w:rsidRDefault="00922401" w:rsidP="00922401">
      <w:pPr>
        <w:pStyle w:val="para"/>
        <w:spacing w:before="0" w:after="200" w:line="240" w:lineRule="auto"/>
        <w:ind w:firstLine="620"/>
        <w:jc w:val="left"/>
        <w:rPr>
          <w:w w:val="100"/>
          <w:sz w:val="24"/>
          <w:szCs w:val="24"/>
        </w:rPr>
      </w:pPr>
      <w:r w:rsidRPr="00922401">
        <w:rPr>
          <w:w w:val="100"/>
          <w:sz w:val="24"/>
          <w:szCs w:val="24"/>
        </w:rPr>
        <w:t>Unless you describe the necessary insurance with great specificity, an insurance agent is not liable for inadequate coverage. It may be wise to have an expert investigate the estate’s insurance situation and analyze coverage, cost, insurable risks, and exposures to loss. Before you sign, we can review any insurance analysis contract.</w:t>
      </w:r>
    </w:p>
    <w:p w14:paraId="29E77D6F"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You will be responsible for calendaring and for preparing all of Decedent’s and the estate’s gift and income tax returns. Most clients use a certified public accountant to keep the estate’s fiduciary accounts, prepare tax returns, and complete Schedule K-1 (Form 1041) (to report each beneficiary’s share of income, deductions, and credits).</w:t>
      </w:r>
    </w:p>
    <w:p w14:paraId="29E77D70"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With Decedent’s death, the beneficiaries receive many assets having a new income tax basis. Generally speaking, the income tax basis for most assets will be adjusted to the values shown on the federal estate tax return or, if no such return, then as shown on the statutory inventory that will be prepared. Most retirement benefits do not receive an adjusted basis. Death benefits from those plans and life insurance are not controlled by a will but are controlled by beneficiary designations. These assets are usually referred to as “nonprobate assets.” Taxation of retirement benefits is a matter for you to discuss with the person who prepares income tax returns for the estate.</w:t>
      </w:r>
    </w:p>
    <w:p w14:paraId="29E77D71" w14:textId="77777777" w:rsidR="000201B6" w:rsidRDefault="00922401"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Before we begin, w</w:t>
      </w:r>
      <w:r w:rsidR="000201B6">
        <w:rPr>
          <w:w w:val="100"/>
          <w:sz w:val="24"/>
          <w:szCs w:val="24"/>
        </w:rPr>
        <w:t>e must deal with an important ethical matter to avoid questions of conflicts of interest. As independent administrator, only you will be a client of this firm for matters related to the estate. While this may appear obvious, there are many instances in which family members and other beneficiaries believe that a lawyer represents “the estate” directly and thus represents them indirectly. This is not the case. To avoid these conflicts, it is the policy of this firm to recommend that they obtain the advice and services of independent attorneys of their own choosing.</w:t>
      </w:r>
    </w:p>
    <w:p w14:paraId="29E77D72"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As we go along, you will receive copies and information regarding the estate. Please provide affected family members and beneficiaries with updates on a regular basis. In doing so, please make it clear that this firm represents only you.</w:t>
      </w:r>
    </w:p>
    <w:p w14:paraId="29E77D73"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We are not now aware of any conflicts that exist or any facts that would create a conflict, although that possibility always exists. If you become aware of any conflict relating to this estate, your service as a fiduciary, or anything affecting our representation, you must call it to our attention.</w:t>
      </w:r>
    </w:p>
    <w:p w14:paraId="29E77D74"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Please understand that to protect your interests in the event of my death, disability, or retirement, it may be necessary or appropriate for another lawyer or a staff member of this firm, a personal representative (including someone acting under a power of attorney), or another lawyer who is retained by any such person to have access to your file and records in order to contact you to determine appropriate handling of your matters and of your files and to make an appropriate referral (subject to your approval) to other attorneys for future handling. In that regard, you grant permission and waive all privileges solely to the extent necessary or appropriate for those purposes.</w:t>
      </w:r>
    </w:p>
    <w:p w14:paraId="29E77D75"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Furthermore</w:t>
      </w:r>
      <w:r w:rsidR="00922401">
        <w:rPr>
          <w:w w:val="100"/>
          <w:sz w:val="24"/>
          <w:szCs w:val="24"/>
        </w:rPr>
        <w:t>,</w:t>
      </w:r>
      <w:r>
        <w:rPr>
          <w:w w:val="100"/>
          <w:sz w:val="24"/>
          <w:szCs w:val="24"/>
        </w:rPr>
        <w:t xml:space="preserve"> in the event of my death, disability, or retirement, if further services are required in connection with this representation and you engage another lawyer to perform those services, you expressly authorize the division of fees based on the proportion of the work done or responsibilities assumed by this firm and by your new attorney. Such division specifically authorizes the payment of fees and expenses to my estate, personal representatives, and heirs.</w:t>
      </w:r>
    </w:p>
    <w:p w14:paraId="29E77D76"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With respect to documents provided by you as well as original documents generated in connection with this representation, those that are not filed with the court will be returned to you. This firm is entitled to retain copies of all such documents as well as all other materials used in connection with the representation. All other documents, including notes and the remaining contents of your file, are attorney work product and are owned by the firm. Of course, during our representation of you and for as long thereafter as we retain any of such items, we will make your files available to you for inspection and copying.</w:t>
      </w:r>
    </w:p>
    <w:p w14:paraId="29E77D77"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Please note that we may destroy any of your files at any time with your written consent and, in any event, after one year following written notice to you sent by regular mail to your last known address as reflected in our records. No further notice to you will be required before such destruction.</w:t>
      </w:r>
    </w:p>
    <w:p w14:paraId="29E77D78"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Enclosed is a copy of the Texas Lawyer</w:t>
      </w:r>
      <w:r w:rsidR="00922401">
        <w:rPr>
          <w:w w:val="100"/>
          <w:sz w:val="24"/>
          <w:szCs w:val="24"/>
        </w:rPr>
        <w:t>’</w:t>
      </w:r>
      <w:r>
        <w:rPr>
          <w:w w:val="100"/>
          <w:sz w:val="24"/>
          <w:szCs w:val="24"/>
        </w:rPr>
        <w:t>s Creed. This mandate for professionalism was promulgated by the Supreme Court of Texas and the Texas Court of Criminal Appeals in 1989. All lawyers and members of our staff do our best to adhere to the high standards it sets for the lawyers of Texas. We invite your questions and comments regarding that creed and your perception of our adherence to its objectives.</w:t>
      </w:r>
    </w:p>
    <w:p w14:paraId="29E77D79"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We all take seriously our obligation to maintain the highest standards of ethical conduct toward our clients and others. To enforce ethical conduct, the State Bar of Texas investigates and prosecutes complaints of professional misconduct. If you have questions about this process or how to file a complaint, you should contact the office of the State Bar </w:t>
      </w:r>
      <w:r w:rsidR="00922401">
        <w:rPr>
          <w:w w:val="100"/>
          <w:sz w:val="24"/>
          <w:szCs w:val="24"/>
        </w:rPr>
        <w:t>of Texas at 1-800-932-1900 toll-</w:t>
      </w:r>
      <w:r>
        <w:rPr>
          <w:w w:val="100"/>
          <w:sz w:val="24"/>
          <w:szCs w:val="24"/>
        </w:rPr>
        <w:t>free for more information.</w:t>
      </w:r>
    </w:p>
    <w:p w14:paraId="29E77D7A"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If the foregoing letter correctly reflects your understanding of our agreement, please sign both copies of this letter, retain one for your files, and return one copy in the enclosed envelope. If you have any questions about the proposed engagement, please contact me as soon as possible. Certainly, you should feel free to consult with another lawyer about the effect of signing this letter.</w:t>
      </w:r>
    </w:p>
    <w:p w14:paraId="29E77D7B"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Thank you again for the confidence that you have expressed in me and this firm at this very difficult time. Please call me if you have any questions. Kindest regards.</w:t>
      </w:r>
    </w:p>
    <w:p w14:paraId="29E77D7C" w14:textId="77777777" w:rsidR="000201B6" w:rsidRDefault="000201B6" w:rsidP="00AD7D74">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Yours very truly,</w:t>
      </w:r>
    </w:p>
    <w:p w14:paraId="29E77D7D" w14:textId="77777777" w:rsidR="000201B6" w:rsidRDefault="000201B6" w:rsidP="00AD7D74">
      <w:pPr>
        <w:pStyle w:val="para"/>
        <w:widowControl/>
        <w:tabs>
          <w:tab w:val="left" w:leader="underscore" w:pos="8160"/>
        </w:tabs>
        <w:suppressAutoHyphens/>
        <w:spacing w:before="240" w:after="480" w:line="240" w:lineRule="auto"/>
        <w:ind w:left="4320"/>
        <w:jc w:val="left"/>
        <w:rPr>
          <w:w w:val="100"/>
          <w:sz w:val="24"/>
          <w:szCs w:val="24"/>
        </w:rPr>
      </w:pPr>
      <w:r>
        <w:rPr>
          <w:w w:val="100"/>
          <w:sz w:val="24"/>
          <w:szCs w:val="24"/>
        </w:rPr>
        <w:t>[</w:t>
      </w:r>
      <w:r>
        <w:rPr>
          <w:rFonts w:ascii="Arial" w:hAnsi="Arial" w:cs="Arial"/>
          <w:b/>
          <w:bCs/>
          <w:w w:val="100"/>
        </w:rPr>
        <w:t>Attorney’s name</w:t>
      </w:r>
      <w:r>
        <w:rPr>
          <w:w w:val="100"/>
          <w:sz w:val="24"/>
          <w:szCs w:val="24"/>
        </w:rPr>
        <w:t>]</w:t>
      </w:r>
    </w:p>
    <w:p w14:paraId="29E77D7E" w14:textId="77777777" w:rsidR="000201B6" w:rsidRDefault="000201B6" w:rsidP="00AD7D74">
      <w:pPr>
        <w:pStyle w:val="para"/>
        <w:widowControl/>
        <w:tabs>
          <w:tab w:val="right" w:leader="underscore" w:pos="9000"/>
        </w:tabs>
        <w:spacing w:before="0" w:after="0" w:line="240" w:lineRule="auto"/>
        <w:ind w:left="380" w:hanging="380"/>
        <w:jc w:val="left"/>
        <w:rPr>
          <w:w w:val="100"/>
          <w:sz w:val="24"/>
          <w:szCs w:val="24"/>
        </w:rPr>
      </w:pPr>
      <w:r>
        <w:rPr>
          <w:w w:val="100"/>
          <w:sz w:val="24"/>
          <w:szCs w:val="24"/>
        </w:rPr>
        <w:t>Enclosures</w:t>
      </w:r>
      <w:r>
        <w:rPr>
          <w:w w:val="100"/>
          <w:sz w:val="24"/>
          <w:szCs w:val="24"/>
        </w:rPr>
        <w:br/>
        <w:t>Texas Lawyer</w:t>
      </w:r>
      <w:r w:rsidR="00922401">
        <w:rPr>
          <w:w w:val="100"/>
          <w:sz w:val="24"/>
          <w:szCs w:val="24"/>
        </w:rPr>
        <w:t>’</w:t>
      </w:r>
      <w:r>
        <w:rPr>
          <w:w w:val="100"/>
          <w:sz w:val="24"/>
          <w:szCs w:val="24"/>
        </w:rPr>
        <w:t>s Creed</w:t>
      </w:r>
    </w:p>
    <w:p w14:paraId="29E77D7F" w14:textId="77777777" w:rsidR="000201B6" w:rsidRDefault="000201B6" w:rsidP="00AD7D74">
      <w:pPr>
        <w:pStyle w:val="para"/>
        <w:tabs>
          <w:tab w:val="right" w:leader="underscore" w:pos="9000"/>
        </w:tabs>
        <w:spacing w:before="0" w:after="400" w:line="240" w:lineRule="auto"/>
        <w:ind w:left="380"/>
        <w:jc w:val="left"/>
        <w:rPr>
          <w:w w:val="100"/>
          <w:sz w:val="24"/>
          <w:szCs w:val="24"/>
        </w:rPr>
      </w:pPr>
      <w:r>
        <w:rPr>
          <w:w w:val="100"/>
          <w:sz w:val="24"/>
          <w:szCs w:val="24"/>
        </w:rPr>
        <w:t>Return envelope</w:t>
      </w:r>
    </w:p>
    <w:p w14:paraId="29E77D80" w14:textId="77777777" w:rsidR="000201B6" w:rsidRDefault="000201B6" w:rsidP="00AD7D74">
      <w:pPr>
        <w:pStyle w:val="para"/>
        <w:widowControl/>
        <w:tabs>
          <w:tab w:val="right" w:leader="underscore" w:pos="9000"/>
        </w:tabs>
        <w:spacing w:before="0" w:after="200" w:line="240" w:lineRule="auto"/>
        <w:ind w:firstLine="620"/>
        <w:jc w:val="left"/>
        <w:rPr>
          <w:w w:val="100"/>
          <w:sz w:val="24"/>
          <w:szCs w:val="24"/>
        </w:rPr>
      </w:pPr>
      <w:r>
        <w:rPr>
          <w:w w:val="100"/>
          <w:sz w:val="24"/>
          <w:szCs w:val="24"/>
        </w:rPr>
        <w:t>The foregoing letter correctly reflects my understanding of our agreement. Dated ________________________.</w:t>
      </w:r>
    </w:p>
    <w:p w14:paraId="29E77D81" w14:textId="77777777" w:rsidR="000201B6" w:rsidRDefault="000201B6" w:rsidP="00AD7D74">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sidR="00C31D68" w:rsidRPr="00C31D68">
        <w:rPr>
          <w:bCs/>
          <w:w w:val="100"/>
          <w:sz w:val="24"/>
        </w:rPr>
        <w:t>[</w:t>
      </w:r>
      <w:r>
        <w:rPr>
          <w:rFonts w:ascii="Arial" w:hAnsi="Arial" w:cs="Arial"/>
          <w:b/>
          <w:bCs/>
          <w:w w:val="100"/>
        </w:rPr>
        <w:t>2.45</w:t>
      </w:r>
      <w:r w:rsidR="00C31D68" w:rsidRPr="00C31D68">
        <w:rPr>
          <w:bCs/>
          <w:w w:val="100"/>
          <w:sz w:val="24"/>
        </w:rPr>
        <w:t>]</w:t>
      </w:r>
    </w:p>
    <w:p w14:paraId="29E77D82" w14:textId="77777777" w:rsidR="00D13E1A" w:rsidRDefault="00D13E1A" w:rsidP="00AD7D74"/>
    <w:sectPr w:rsidR="00D13E1A" w:rsidSect="000201B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77D85" w14:textId="77777777" w:rsidR="009F4194" w:rsidRDefault="009F4194">
      <w:r>
        <w:separator/>
      </w:r>
    </w:p>
  </w:endnote>
  <w:endnote w:type="continuationSeparator" w:id="0">
    <w:p w14:paraId="29E77D86" w14:textId="77777777" w:rsidR="009F4194" w:rsidRDefault="009F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7D88"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77D83" w14:textId="77777777" w:rsidR="009F4194" w:rsidRDefault="009F4194">
      <w:r>
        <w:separator/>
      </w:r>
    </w:p>
  </w:footnote>
  <w:footnote w:type="continuationSeparator" w:id="0">
    <w:p w14:paraId="29E77D84" w14:textId="77777777" w:rsidR="009F4194" w:rsidRDefault="009F41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7D87"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89831110">
    <w:abstractNumId w:val="8"/>
  </w:num>
  <w:num w:numId="2" w16cid:durableId="272516769">
    <w:abstractNumId w:val="8"/>
  </w:num>
  <w:num w:numId="3" w16cid:durableId="2035568498">
    <w:abstractNumId w:val="3"/>
  </w:num>
  <w:num w:numId="4" w16cid:durableId="62220733">
    <w:abstractNumId w:val="3"/>
  </w:num>
  <w:num w:numId="5" w16cid:durableId="462962538">
    <w:abstractNumId w:val="9"/>
  </w:num>
  <w:num w:numId="6" w16cid:durableId="1512261576">
    <w:abstractNumId w:val="9"/>
  </w:num>
  <w:num w:numId="7" w16cid:durableId="1461992221">
    <w:abstractNumId w:val="7"/>
  </w:num>
  <w:num w:numId="8" w16cid:durableId="509104665">
    <w:abstractNumId w:val="7"/>
  </w:num>
  <w:num w:numId="9" w16cid:durableId="1342968763">
    <w:abstractNumId w:val="13"/>
  </w:num>
  <w:num w:numId="10" w16cid:durableId="1311446923">
    <w:abstractNumId w:val="15"/>
  </w:num>
  <w:num w:numId="11" w16cid:durableId="931938890">
    <w:abstractNumId w:val="8"/>
  </w:num>
  <w:num w:numId="12" w16cid:durableId="1044938406">
    <w:abstractNumId w:val="3"/>
  </w:num>
  <w:num w:numId="13" w16cid:durableId="737945854">
    <w:abstractNumId w:val="9"/>
  </w:num>
  <w:num w:numId="14" w16cid:durableId="297885237">
    <w:abstractNumId w:val="7"/>
  </w:num>
  <w:num w:numId="15" w16cid:durableId="1444959013">
    <w:abstractNumId w:val="6"/>
  </w:num>
  <w:num w:numId="16" w16cid:durableId="2032874239">
    <w:abstractNumId w:val="5"/>
  </w:num>
  <w:num w:numId="17" w16cid:durableId="970786275">
    <w:abstractNumId w:val="4"/>
  </w:num>
  <w:num w:numId="18" w16cid:durableId="801923419">
    <w:abstractNumId w:val="2"/>
  </w:num>
  <w:num w:numId="19" w16cid:durableId="2091004578">
    <w:abstractNumId w:val="1"/>
  </w:num>
  <w:num w:numId="20" w16cid:durableId="1869836627">
    <w:abstractNumId w:val="0"/>
  </w:num>
  <w:num w:numId="21" w16cid:durableId="1427923725">
    <w:abstractNumId w:val="11"/>
  </w:num>
  <w:num w:numId="22" w16cid:durableId="408235093">
    <w:abstractNumId w:val="12"/>
  </w:num>
  <w:num w:numId="23" w16cid:durableId="2140604396">
    <w:abstractNumId w:val="14"/>
  </w:num>
  <w:num w:numId="24" w16cid:durableId="176877025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321205449">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107.docx"/>
    <w:docVar w:name="TBBStampDate" w:val="05-14-2026"/>
    <w:docVar w:name="TBBVer" w:val="docx"/>
    <w:docVar w:name="TBBYear" w:val="2026"/>
  </w:docVars>
  <w:rsids>
    <w:rsidRoot w:val="000201B6"/>
    <w:rsid w:val="00006704"/>
    <w:rsid w:val="000201B6"/>
    <w:rsid w:val="00035105"/>
    <w:rsid w:val="0004285B"/>
    <w:rsid w:val="00055419"/>
    <w:rsid w:val="00075517"/>
    <w:rsid w:val="000A5288"/>
    <w:rsid w:val="000A6DC7"/>
    <w:rsid w:val="000B0F31"/>
    <w:rsid w:val="000B259E"/>
    <w:rsid w:val="000D0833"/>
    <w:rsid w:val="000D5936"/>
    <w:rsid w:val="00103258"/>
    <w:rsid w:val="00106C67"/>
    <w:rsid w:val="00124EC7"/>
    <w:rsid w:val="001251D0"/>
    <w:rsid w:val="001357DF"/>
    <w:rsid w:val="001528D6"/>
    <w:rsid w:val="00167635"/>
    <w:rsid w:val="001B4977"/>
    <w:rsid w:val="001C7034"/>
    <w:rsid w:val="001D113B"/>
    <w:rsid w:val="001F60A0"/>
    <w:rsid w:val="00212AD4"/>
    <w:rsid w:val="00220537"/>
    <w:rsid w:val="00221D27"/>
    <w:rsid w:val="002428E7"/>
    <w:rsid w:val="002733D1"/>
    <w:rsid w:val="002C1959"/>
    <w:rsid w:val="002C211D"/>
    <w:rsid w:val="002C3E97"/>
    <w:rsid w:val="002C456D"/>
    <w:rsid w:val="002D4648"/>
    <w:rsid w:val="002D4815"/>
    <w:rsid w:val="002F0062"/>
    <w:rsid w:val="002F4B1D"/>
    <w:rsid w:val="00300E00"/>
    <w:rsid w:val="003119E6"/>
    <w:rsid w:val="00313D85"/>
    <w:rsid w:val="00320622"/>
    <w:rsid w:val="00355A1B"/>
    <w:rsid w:val="00381DC1"/>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1551B"/>
    <w:rsid w:val="005360CE"/>
    <w:rsid w:val="0054029D"/>
    <w:rsid w:val="00542BC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26506"/>
    <w:rsid w:val="00630A0B"/>
    <w:rsid w:val="006546C9"/>
    <w:rsid w:val="00662FDF"/>
    <w:rsid w:val="00676127"/>
    <w:rsid w:val="00680E59"/>
    <w:rsid w:val="006959A6"/>
    <w:rsid w:val="006960B0"/>
    <w:rsid w:val="006C0869"/>
    <w:rsid w:val="006C1BBF"/>
    <w:rsid w:val="006C2810"/>
    <w:rsid w:val="006D14DF"/>
    <w:rsid w:val="0070594F"/>
    <w:rsid w:val="00746473"/>
    <w:rsid w:val="00763BF6"/>
    <w:rsid w:val="00767ED8"/>
    <w:rsid w:val="00795CB0"/>
    <w:rsid w:val="007A2E08"/>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21F"/>
    <w:rsid w:val="00877F53"/>
    <w:rsid w:val="008B3F1F"/>
    <w:rsid w:val="008D3F7D"/>
    <w:rsid w:val="008D602D"/>
    <w:rsid w:val="008F41A5"/>
    <w:rsid w:val="00903348"/>
    <w:rsid w:val="00922401"/>
    <w:rsid w:val="009354B6"/>
    <w:rsid w:val="00937698"/>
    <w:rsid w:val="009518AF"/>
    <w:rsid w:val="00965A52"/>
    <w:rsid w:val="00986BE4"/>
    <w:rsid w:val="009A2FE8"/>
    <w:rsid w:val="009A7C45"/>
    <w:rsid w:val="009C6567"/>
    <w:rsid w:val="009D367E"/>
    <w:rsid w:val="009E048A"/>
    <w:rsid w:val="009F1B69"/>
    <w:rsid w:val="009F4194"/>
    <w:rsid w:val="00A026BD"/>
    <w:rsid w:val="00A0583D"/>
    <w:rsid w:val="00A156B5"/>
    <w:rsid w:val="00A17A2F"/>
    <w:rsid w:val="00A34BDC"/>
    <w:rsid w:val="00AA74A2"/>
    <w:rsid w:val="00AB3BCD"/>
    <w:rsid w:val="00AD7D74"/>
    <w:rsid w:val="00AE05F0"/>
    <w:rsid w:val="00AE61F5"/>
    <w:rsid w:val="00B12519"/>
    <w:rsid w:val="00B157A8"/>
    <w:rsid w:val="00B15C0D"/>
    <w:rsid w:val="00B17021"/>
    <w:rsid w:val="00B53927"/>
    <w:rsid w:val="00B9314C"/>
    <w:rsid w:val="00BA13C4"/>
    <w:rsid w:val="00BE2E17"/>
    <w:rsid w:val="00C04F3D"/>
    <w:rsid w:val="00C1069F"/>
    <w:rsid w:val="00C16AEA"/>
    <w:rsid w:val="00C31D68"/>
    <w:rsid w:val="00C445FE"/>
    <w:rsid w:val="00C53FF7"/>
    <w:rsid w:val="00CA5BD5"/>
    <w:rsid w:val="00CB155D"/>
    <w:rsid w:val="00CC5C2E"/>
    <w:rsid w:val="00CD150A"/>
    <w:rsid w:val="00CF7073"/>
    <w:rsid w:val="00D13E1A"/>
    <w:rsid w:val="00D25F76"/>
    <w:rsid w:val="00D2766B"/>
    <w:rsid w:val="00D35A20"/>
    <w:rsid w:val="00D47494"/>
    <w:rsid w:val="00D562D6"/>
    <w:rsid w:val="00D93A2E"/>
    <w:rsid w:val="00D94635"/>
    <w:rsid w:val="00D957EF"/>
    <w:rsid w:val="00D96D86"/>
    <w:rsid w:val="00DA05D8"/>
    <w:rsid w:val="00DB22E2"/>
    <w:rsid w:val="00DB48F2"/>
    <w:rsid w:val="00DC4601"/>
    <w:rsid w:val="00DE1F76"/>
    <w:rsid w:val="00DF64BF"/>
    <w:rsid w:val="00E17361"/>
    <w:rsid w:val="00E7012A"/>
    <w:rsid w:val="00E8508F"/>
    <w:rsid w:val="00E90259"/>
    <w:rsid w:val="00E95688"/>
    <w:rsid w:val="00EF0713"/>
    <w:rsid w:val="00EF3BC1"/>
    <w:rsid w:val="00F06D71"/>
    <w:rsid w:val="00F1261B"/>
    <w:rsid w:val="00F22B3D"/>
    <w:rsid w:val="00F6777D"/>
    <w:rsid w:val="00F72310"/>
    <w:rsid w:val="00F75F04"/>
    <w:rsid w:val="00F81C31"/>
    <w:rsid w:val="00F94ACB"/>
    <w:rsid w:val="00FA26E8"/>
    <w:rsid w:val="00FD58F3"/>
    <w:rsid w:val="00FD5B0C"/>
    <w:rsid w:val="00FE1495"/>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E77D51"/>
  <w15:chartTrackingRefBased/>
  <w15:docId w15:val="{16625DE4-309D-4E49-9256-0237EDFBB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201B6"/>
    <w:rPr>
      <w:sz w:val="24"/>
      <w:szCs w:val="24"/>
    </w:rPr>
  </w:style>
  <w:style w:type="paragraph" w:styleId="Heading1">
    <w:name w:val="heading 1"/>
    <w:basedOn w:val="Normal"/>
    <w:next w:val="Normal"/>
    <w:uiPriority w:val="1"/>
    <w:qFormat/>
    <w:rsid w:val="000201B6"/>
    <w:pPr>
      <w:keepNext/>
      <w:spacing w:before="240" w:after="60"/>
      <w:outlineLvl w:val="0"/>
    </w:pPr>
    <w:rPr>
      <w:b/>
      <w:bCs/>
      <w:kern w:val="32"/>
      <w:szCs w:val="32"/>
    </w:rPr>
  </w:style>
  <w:style w:type="paragraph" w:styleId="Heading2">
    <w:name w:val="heading 2"/>
    <w:basedOn w:val="Normal"/>
    <w:next w:val="Normal"/>
    <w:uiPriority w:val="1"/>
    <w:qFormat/>
    <w:rsid w:val="000201B6"/>
    <w:pPr>
      <w:keepNext/>
      <w:spacing w:before="240" w:after="60"/>
      <w:outlineLvl w:val="1"/>
    </w:pPr>
    <w:rPr>
      <w:b/>
      <w:bCs/>
      <w:iCs/>
      <w:szCs w:val="28"/>
    </w:rPr>
  </w:style>
  <w:style w:type="paragraph" w:styleId="Heading3">
    <w:name w:val="heading 3"/>
    <w:basedOn w:val="Normal"/>
    <w:next w:val="Normal"/>
    <w:uiPriority w:val="1"/>
    <w:qFormat/>
    <w:rsid w:val="000201B6"/>
    <w:pPr>
      <w:spacing w:before="240" w:after="60"/>
      <w:outlineLvl w:val="2"/>
    </w:pPr>
    <w:rPr>
      <w:b/>
      <w:bCs/>
      <w:szCs w:val="26"/>
    </w:rPr>
  </w:style>
  <w:style w:type="paragraph" w:styleId="Heading4">
    <w:name w:val="heading 4"/>
    <w:basedOn w:val="Normal"/>
    <w:next w:val="Normal"/>
    <w:uiPriority w:val="1"/>
    <w:qFormat/>
    <w:rsid w:val="000201B6"/>
    <w:pPr>
      <w:spacing w:before="240" w:after="60"/>
      <w:outlineLvl w:val="3"/>
    </w:pPr>
    <w:rPr>
      <w:b/>
      <w:bCs/>
      <w:szCs w:val="28"/>
    </w:rPr>
  </w:style>
  <w:style w:type="paragraph" w:styleId="Heading5">
    <w:name w:val="heading 5"/>
    <w:basedOn w:val="Normal"/>
    <w:next w:val="Normal"/>
    <w:uiPriority w:val="1"/>
    <w:qFormat/>
    <w:rsid w:val="000201B6"/>
    <w:pPr>
      <w:spacing w:before="240" w:after="60"/>
      <w:outlineLvl w:val="4"/>
    </w:pPr>
    <w:rPr>
      <w:b/>
      <w:bCs/>
      <w:iCs/>
      <w:szCs w:val="26"/>
    </w:rPr>
  </w:style>
  <w:style w:type="paragraph" w:styleId="Heading6">
    <w:name w:val="heading 6"/>
    <w:basedOn w:val="Normal"/>
    <w:next w:val="Normal"/>
    <w:uiPriority w:val="1"/>
    <w:qFormat/>
    <w:rsid w:val="000201B6"/>
    <w:pPr>
      <w:spacing w:before="240" w:after="60"/>
      <w:outlineLvl w:val="5"/>
    </w:pPr>
    <w:rPr>
      <w:b/>
      <w:bCs/>
      <w:szCs w:val="22"/>
    </w:rPr>
  </w:style>
  <w:style w:type="paragraph" w:styleId="Heading7">
    <w:name w:val="heading 7"/>
    <w:basedOn w:val="Normal"/>
    <w:next w:val="Normal"/>
    <w:uiPriority w:val="1"/>
    <w:qFormat/>
    <w:rsid w:val="000201B6"/>
    <w:pPr>
      <w:spacing w:before="240" w:after="60"/>
      <w:outlineLvl w:val="6"/>
    </w:pPr>
    <w:rPr>
      <w:b/>
    </w:rPr>
  </w:style>
  <w:style w:type="paragraph" w:styleId="Heading8">
    <w:name w:val="heading 8"/>
    <w:basedOn w:val="Normal"/>
    <w:next w:val="Normal"/>
    <w:uiPriority w:val="1"/>
    <w:qFormat/>
    <w:rsid w:val="000201B6"/>
    <w:pPr>
      <w:spacing w:before="240" w:after="60"/>
      <w:outlineLvl w:val="7"/>
    </w:pPr>
    <w:rPr>
      <w:b/>
      <w:iCs/>
    </w:rPr>
  </w:style>
  <w:style w:type="paragraph" w:styleId="Heading9">
    <w:name w:val="heading 9"/>
    <w:basedOn w:val="Normal"/>
    <w:next w:val="Normal"/>
    <w:uiPriority w:val="2"/>
    <w:qFormat/>
    <w:rsid w:val="000201B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201B6"/>
    <w:pPr>
      <w:spacing w:after="240"/>
    </w:pPr>
    <w:rPr>
      <w:szCs w:val="20"/>
    </w:rPr>
  </w:style>
  <w:style w:type="paragraph" w:styleId="Quote">
    <w:name w:val="Quote"/>
    <w:basedOn w:val="BodyText"/>
    <w:uiPriority w:val="2"/>
    <w:qFormat/>
    <w:rsid w:val="000201B6"/>
    <w:pPr>
      <w:ind w:left="1440" w:right="1440"/>
    </w:pPr>
  </w:style>
  <w:style w:type="paragraph" w:customStyle="1" w:styleId="BodyTextContinued">
    <w:name w:val="Body Text Continued"/>
    <w:basedOn w:val="BodyText"/>
    <w:next w:val="BodyText"/>
    <w:rsid w:val="000201B6"/>
  </w:style>
  <w:style w:type="paragraph" w:styleId="TOC1">
    <w:name w:val="toc 1"/>
    <w:basedOn w:val="Normal"/>
    <w:next w:val="Normal"/>
    <w:autoRedefine/>
    <w:uiPriority w:val="2"/>
    <w:rsid w:val="000201B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201B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201B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201B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201B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201B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201B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201B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201B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201B6"/>
    <w:pPr>
      <w:numPr>
        <w:numId w:val="9"/>
      </w:numPr>
    </w:pPr>
  </w:style>
  <w:style w:type="paragraph" w:styleId="ListNumber2">
    <w:name w:val="List Number 2"/>
    <w:basedOn w:val="BodyText"/>
    <w:uiPriority w:val="1"/>
    <w:rsid w:val="000201B6"/>
    <w:pPr>
      <w:numPr>
        <w:numId w:val="10"/>
      </w:numPr>
    </w:pPr>
  </w:style>
  <w:style w:type="paragraph" w:styleId="ListBullet">
    <w:name w:val="List Bullet"/>
    <w:basedOn w:val="BodyText"/>
    <w:uiPriority w:val="1"/>
    <w:rsid w:val="000201B6"/>
    <w:pPr>
      <w:numPr>
        <w:numId w:val="5"/>
      </w:numPr>
      <w:tabs>
        <w:tab w:val="left" w:pos="1440"/>
      </w:tabs>
    </w:pPr>
    <w:rPr>
      <w:szCs w:val="24"/>
    </w:rPr>
  </w:style>
  <w:style w:type="paragraph" w:styleId="ListBullet2">
    <w:name w:val="List Bullet 2"/>
    <w:basedOn w:val="BodyText"/>
    <w:uiPriority w:val="1"/>
    <w:rsid w:val="000201B6"/>
    <w:pPr>
      <w:numPr>
        <w:numId w:val="7"/>
      </w:numPr>
      <w:tabs>
        <w:tab w:val="clear" w:pos="1440"/>
        <w:tab w:val="left" w:pos="720"/>
      </w:tabs>
      <w:ind w:left="720"/>
    </w:pPr>
    <w:rPr>
      <w:szCs w:val="24"/>
    </w:rPr>
  </w:style>
  <w:style w:type="paragraph" w:styleId="Header">
    <w:name w:val="header"/>
    <w:basedOn w:val="Normal"/>
    <w:uiPriority w:val="1"/>
    <w:rsid w:val="000201B6"/>
    <w:pPr>
      <w:tabs>
        <w:tab w:val="center" w:pos="4680"/>
        <w:tab w:val="right" w:pos="9360"/>
      </w:tabs>
    </w:pPr>
  </w:style>
  <w:style w:type="paragraph" w:styleId="Footer">
    <w:name w:val="footer"/>
    <w:basedOn w:val="Normal"/>
    <w:rsid w:val="000201B6"/>
    <w:pPr>
      <w:tabs>
        <w:tab w:val="center" w:pos="4680"/>
        <w:tab w:val="right" w:pos="9360"/>
      </w:tabs>
    </w:pPr>
  </w:style>
  <w:style w:type="table" w:styleId="TableGrid">
    <w:name w:val="Table Grid"/>
    <w:basedOn w:val="TableNormal"/>
    <w:rsid w:val="00020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201B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201B6"/>
    <w:rPr>
      <w:rFonts w:ascii="Times New Roman Bold" w:hAnsi="Times New Roman Bold" w:cs="Arial"/>
      <w:b/>
      <w:vanish/>
      <w:color w:val="FF0000"/>
    </w:rPr>
  </w:style>
  <w:style w:type="paragraph" w:customStyle="1" w:styleId="Formhidden">
    <w:name w:val="Form_hidden"/>
    <w:rsid w:val="000201B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201B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201B6"/>
    <w:rPr>
      <w:sz w:val="20"/>
      <w:szCs w:val="20"/>
    </w:rPr>
  </w:style>
  <w:style w:type="paragraph" w:customStyle="1" w:styleId="Titlehidden">
    <w:name w:val="Title_hidden"/>
    <w:uiPriority w:val="99"/>
    <w:qFormat/>
    <w:rsid w:val="000201B6"/>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0201B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201B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201B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201B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201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201B6"/>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0201B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201B6"/>
    <w:rPr>
      <w:rFonts w:ascii="Arial" w:hAnsi="Arial"/>
      <w:i/>
      <w:vanish/>
      <w:color w:val="FF0000"/>
      <w:szCs w:val="24"/>
    </w:rPr>
  </w:style>
  <w:style w:type="paragraph" w:customStyle="1" w:styleId="MnLevel4hidden">
    <w:name w:val="MnLevel4_hidden"/>
    <w:uiPriority w:val="2"/>
    <w:rsid w:val="000201B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201B6"/>
    <w:pPr>
      <w:spacing w:after="240"/>
      <w:ind w:right="5760"/>
    </w:pPr>
    <w:rPr>
      <w:rFonts w:ascii="Arial" w:hAnsi="Arial" w:cs="Arial"/>
      <w:i/>
      <w:vanish/>
      <w:color w:val="FF0000"/>
    </w:rPr>
  </w:style>
  <w:style w:type="paragraph" w:customStyle="1" w:styleId="MnListnhidden">
    <w:name w:val="MnList_n_hidden"/>
    <w:uiPriority w:val="2"/>
    <w:rsid w:val="000201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201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201B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201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201B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201B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201B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201B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201B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201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201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201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201B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201B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201B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201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201B6"/>
    <w:rPr>
      <w:vanish/>
      <w:sz w:val="4"/>
      <w:szCs w:val="24"/>
    </w:rPr>
  </w:style>
  <w:style w:type="paragraph" w:customStyle="1" w:styleId="clausetitlehidden">
    <w:name w:val="clause_title_hidden"/>
    <w:basedOn w:val="Normal"/>
    <w:uiPriority w:val="2"/>
    <w:qFormat/>
    <w:rsid w:val="000201B6"/>
    <w:pPr>
      <w:spacing w:after="240"/>
      <w:ind w:left="720" w:hanging="720"/>
    </w:pPr>
    <w:rPr>
      <w:i/>
      <w:vanish/>
      <w:color w:val="FF0000"/>
    </w:rPr>
  </w:style>
  <w:style w:type="paragraph" w:customStyle="1" w:styleId="clausenumberhidden">
    <w:name w:val="clause_number_hidden"/>
    <w:basedOn w:val="Normal"/>
    <w:uiPriority w:val="2"/>
    <w:qFormat/>
    <w:rsid w:val="000201B6"/>
    <w:pPr>
      <w:spacing w:after="240"/>
    </w:pPr>
    <w:rPr>
      <w:rFonts w:ascii="Arial" w:hAnsi="Arial"/>
      <w:b/>
      <w:i/>
      <w:vanish/>
      <w:color w:val="FF0000"/>
      <w:sz w:val="20"/>
    </w:rPr>
  </w:style>
  <w:style w:type="paragraph" w:customStyle="1" w:styleId="TitleBeforeSubhidden">
    <w:name w:val="TitleBeforeSub_hidden"/>
    <w:uiPriority w:val="2"/>
    <w:qFormat/>
    <w:rsid w:val="000201B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0201B6"/>
  </w:style>
  <w:style w:type="paragraph" w:customStyle="1" w:styleId="TitleBeforeSub">
    <w:name w:val="TitleBeforeSub"/>
    <w:uiPriority w:val="2"/>
    <w:qFormat/>
    <w:rsid w:val="000201B6"/>
    <w:pPr>
      <w:keepNext/>
      <w:widowControl w:val="0"/>
      <w:suppressAutoHyphens/>
      <w:spacing w:line="340" w:lineRule="atLeast"/>
      <w:jc w:val="center"/>
    </w:pPr>
    <w:rPr>
      <w:b/>
      <w:sz w:val="28"/>
      <w:szCs w:val="24"/>
    </w:rPr>
  </w:style>
  <w:style w:type="paragraph" w:customStyle="1" w:styleId="TableAnchor">
    <w:name w:val="TableAnchor"/>
    <w:uiPriority w:val="99"/>
    <w:rsid w:val="000201B6"/>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0201B6"/>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0201B6"/>
    <w:rPr>
      <w:rFonts w:ascii="Arial" w:hAnsi="Arial" w:cs="Arial"/>
      <w:b/>
      <w:bCs/>
      <w:sz w:val="20"/>
      <w:szCs w:val="20"/>
    </w:rPr>
  </w:style>
  <w:style w:type="paragraph" w:styleId="BalloonText">
    <w:name w:val="Balloon Text"/>
    <w:basedOn w:val="Normal"/>
    <w:link w:val="BalloonTextChar"/>
    <w:rsid w:val="00C31D68"/>
    <w:rPr>
      <w:rFonts w:ascii="Tahoma" w:hAnsi="Tahoma" w:cs="Tahoma"/>
      <w:sz w:val="16"/>
      <w:szCs w:val="16"/>
    </w:rPr>
  </w:style>
  <w:style w:type="character" w:customStyle="1" w:styleId="BalloonTextChar">
    <w:name w:val="Balloon Text Char"/>
    <w:link w:val="BalloonText"/>
    <w:rsid w:val="00C31D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D00ED0-58E8-4826-B4BE-CEFE26E58F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6D9CFA7-4B45-4C5F-8ECB-F5FF94BABDCF}">
  <ds:schemaRefs>
    <ds:schemaRef ds:uri="http://schemas.microsoft.com/sharepoint/v3/contenttype/forms"/>
  </ds:schemaRefs>
</ds:datastoreItem>
</file>

<file path=customXml/itemProps3.xml><?xml version="1.0" encoding="utf-8"?>
<ds:datastoreItem xmlns:ds="http://schemas.openxmlformats.org/officeDocument/2006/customXml" ds:itemID="{901839AE-3F57-4850-AA75-25889ED907C0}">
  <ds:schemaRefs>
    <ds:schemaRef ds:uri="http://schemas.microsoft.com/office/2006/metadata/longProperties"/>
  </ds:schemaRefs>
</ds:datastoreItem>
</file>

<file path=customXml/itemProps4.xml><?xml version="1.0" encoding="utf-8"?>
<ds:datastoreItem xmlns:ds="http://schemas.openxmlformats.org/officeDocument/2006/customXml" ds:itemID="{9E73FBFB-9019-43DC-B15E-0CB2AC64B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1444</Words>
  <Characters>8233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6</cp:revision>
  <cp:lastPrinted>2018-03-14T17:04:00Z</cp:lastPrinted>
  <dcterms:created xsi:type="dcterms:W3CDTF">2021-12-10T16:17:00Z</dcterms:created>
  <dcterms:modified xsi:type="dcterms:W3CDTF">2026-05-14T15:20:00Z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27291600.0000000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