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17BE5" w14:textId="77777777" w:rsidR="004B2234" w:rsidRPr="004B2234" w:rsidRDefault="004B2234" w:rsidP="00B4642D">
      <w:pPr>
        <w:pStyle w:val="Titlehidden"/>
        <w:rPr>
          <w:sz w:val="18"/>
        </w:rPr>
      </w:pPr>
      <w:r w:rsidRPr="004B2234">
        <w:rPr>
          <w:rFonts w:ascii="Times New Roman" w:hAnsi="Times New Roman"/>
          <w:sz w:val="18"/>
        </w:rPr>
        <w:br/>
      </w:r>
      <w:r w:rsidRPr="004B2234">
        <w:rPr>
          <w:rFonts w:ascii="Times New Roman" w:hAnsi="Times New Roman"/>
          <w:sz w:val="24"/>
        </w:rPr>
        <w:t xml:space="preserve">Letter 73—Advise of Duties and Actions to Follow </w:t>
      </w:r>
      <w:r w:rsidRPr="004B2234">
        <w:rPr>
          <w:rFonts w:ascii="Times New Roman" w:hAnsi="Times New Roman"/>
          <w:sz w:val="24"/>
        </w:rPr>
        <w:br/>
        <w:t>(ADE, AWA)</w:t>
      </w:r>
      <w:r>
        <w:rPr>
          <w:rFonts w:ascii="Times New Roman" w:hAnsi="Times New Roman"/>
          <w:sz w:val="24"/>
        </w:rPr>
        <w:br/>
      </w:r>
    </w:p>
    <w:p w14:paraId="41917BE6" w14:textId="5E0F7BC2" w:rsidR="004B2234" w:rsidRDefault="004B2234" w:rsidP="006E5431">
      <w:pPr>
        <w:pStyle w:val="UserInstructionjustifyhidden"/>
        <w:ind w:left="2880" w:right="2880"/>
        <w:jc w:val="center"/>
      </w:pPr>
      <w:r>
        <w:t>Enclose the indicated items.</w:t>
      </w:r>
    </w:p>
    <w:p w14:paraId="41917BE7" w14:textId="77777777" w:rsidR="004B2234" w:rsidRDefault="00360460" w:rsidP="00B4642D">
      <w:pPr>
        <w:pStyle w:val="para"/>
        <w:widowControl/>
        <w:tabs>
          <w:tab w:val="right" w:leader="underscore" w:pos="9000"/>
        </w:tabs>
        <w:spacing w:before="480" w:after="200" w:line="240" w:lineRule="auto"/>
        <w:jc w:val="left"/>
        <w:rPr>
          <w:w w:val="100"/>
          <w:sz w:val="24"/>
          <w:szCs w:val="24"/>
        </w:rPr>
      </w:pPr>
      <w:r w:rsidRPr="00360460">
        <w:rPr>
          <w:rStyle w:val="substitute"/>
          <w:rFonts w:ascii="Times New Roman" w:hAnsi="Times New Roman" w:cs="Times New Roman"/>
          <w:b w:val="0"/>
          <w:w w:val="100"/>
          <w:sz w:val="24"/>
        </w:rPr>
        <w:t>[</w:t>
      </w:r>
      <w:r w:rsidR="004B2234">
        <w:rPr>
          <w:rStyle w:val="substitute"/>
          <w:w w:val="100"/>
        </w:rPr>
        <w:t>Today’s date</w:t>
      </w:r>
      <w:r w:rsidRPr="00360460">
        <w:rPr>
          <w:rStyle w:val="substitute"/>
          <w:rFonts w:ascii="Times New Roman" w:hAnsi="Times New Roman" w:cs="Times New Roman"/>
          <w:b w:val="0"/>
          <w:w w:val="100"/>
          <w:sz w:val="24"/>
        </w:rPr>
        <w:t>]</w:t>
      </w:r>
    </w:p>
    <w:p w14:paraId="41917BE8" w14:textId="4B9BD877" w:rsidR="004B2234" w:rsidRDefault="00360460" w:rsidP="00B4642D">
      <w:pPr>
        <w:pStyle w:val="para"/>
        <w:widowControl/>
        <w:tabs>
          <w:tab w:val="right" w:leader="underscore" w:pos="9000"/>
        </w:tabs>
        <w:spacing w:before="0" w:after="200" w:line="240" w:lineRule="auto"/>
        <w:jc w:val="left"/>
        <w:rPr>
          <w:w w:val="100"/>
          <w:sz w:val="24"/>
          <w:szCs w:val="24"/>
        </w:rPr>
      </w:pPr>
      <w:r w:rsidRPr="00360460">
        <w:rPr>
          <w:bCs/>
          <w:w w:val="100"/>
          <w:sz w:val="24"/>
        </w:rPr>
        <w:t>[</w:t>
      </w:r>
      <w:r w:rsidR="004B2234">
        <w:rPr>
          <w:rFonts w:ascii="Arial" w:hAnsi="Arial" w:cs="Arial"/>
          <w:b/>
          <w:bCs/>
          <w:w w:val="100"/>
        </w:rPr>
        <w:t>2.45</w:t>
      </w:r>
      <w:r w:rsidRPr="00360460">
        <w:rPr>
          <w:bCs/>
          <w:w w:val="100"/>
          <w:sz w:val="24"/>
        </w:rPr>
        <w:t>]</w:t>
      </w:r>
      <w:r w:rsidR="004B2234">
        <w:rPr>
          <w:w w:val="100"/>
          <w:sz w:val="24"/>
          <w:szCs w:val="24"/>
        </w:rPr>
        <w:br/>
      </w:r>
      <w:r w:rsidRPr="00360460">
        <w:rPr>
          <w:bCs/>
          <w:w w:val="100"/>
          <w:sz w:val="24"/>
        </w:rPr>
        <w:t>[</w:t>
      </w:r>
      <w:r w:rsidR="004B2234">
        <w:rPr>
          <w:rFonts w:ascii="Arial" w:hAnsi="Arial" w:cs="Arial"/>
          <w:b/>
          <w:bCs/>
          <w:w w:val="100"/>
        </w:rPr>
        <w:t>2.47</w:t>
      </w:r>
      <w:r w:rsidRPr="00360460">
        <w:rPr>
          <w:bCs/>
          <w:w w:val="100"/>
          <w:sz w:val="24"/>
        </w:rPr>
        <w:t>]</w:t>
      </w:r>
      <w:r w:rsidR="004B2234">
        <w:rPr>
          <w:w w:val="100"/>
          <w:sz w:val="24"/>
          <w:szCs w:val="24"/>
        </w:rPr>
        <w:br/>
      </w:r>
      <w:r w:rsidRPr="00360460">
        <w:rPr>
          <w:bCs/>
          <w:w w:val="100"/>
          <w:sz w:val="24"/>
        </w:rPr>
        <w:t>[</w:t>
      </w:r>
      <w:r w:rsidR="004B2234">
        <w:rPr>
          <w:rFonts w:ascii="Arial" w:hAnsi="Arial" w:cs="Arial"/>
          <w:b/>
          <w:bCs/>
          <w:w w:val="100"/>
        </w:rPr>
        <w:t>2.48</w:t>
      </w:r>
      <w:r w:rsidRPr="00360460">
        <w:rPr>
          <w:bCs/>
          <w:w w:val="100"/>
          <w:sz w:val="24"/>
        </w:rPr>
        <w:t>]</w:t>
      </w:r>
    </w:p>
    <w:p w14:paraId="41917BE9" w14:textId="12B7F4C3" w:rsidR="004B2234" w:rsidRDefault="004B2234" w:rsidP="00B4642D">
      <w:pPr>
        <w:pStyle w:val="UserInstructionjustifyhidden"/>
      </w:pPr>
      <w:r>
        <w:t>If to a corporate fiduciary, add “Attention: 2.61, 2.63” and change salutation to “</w:t>
      </w:r>
      <w:r w:rsidR="006E5431">
        <w:t>Greetings</w:t>
      </w:r>
      <w:r>
        <w:t>.”</w:t>
      </w:r>
    </w:p>
    <w:p w14:paraId="41917BEA" w14:textId="77777777" w:rsidR="004B2234" w:rsidRDefault="004B2234" w:rsidP="00B4642D">
      <w:pPr>
        <w:pStyle w:val="para"/>
        <w:widowControl/>
        <w:tabs>
          <w:tab w:val="left" w:pos="620"/>
        </w:tabs>
        <w:spacing w:before="0" w:after="480" w:line="240" w:lineRule="auto"/>
        <w:ind w:left="620" w:hanging="620"/>
        <w:jc w:val="left"/>
        <w:rPr>
          <w:w w:val="100"/>
          <w:sz w:val="24"/>
          <w:szCs w:val="24"/>
        </w:rPr>
      </w:pPr>
      <w:r>
        <w:rPr>
          <w:w w:val="100"/>
          <w:sz w:val="24"/>
          <w:szCs w:val="24"/>
        </w:rPr>
        <w:t>Re:</w:t>
      </w:r>
      <w:r>
        <w:rPr>
          <w:w w:val="100"/>
          <w:sz w:val="24"/>
          <w:szCs w:val="24"/>
        </w:rPr>
        <w:tab/>
        <w:t xml:space="preserve">Estate of </w:t>
      </w:r>
      <w:r w:rsidR="00360460" w:rsidRPr="00360460">
        <w:rPr>
          <w:w w:val="100"/>
          <w:sz w:val="24"/>
          <w:szCs w:val="24"/>
        </w:rPr>
        <w:t>[</w:t>
      </w:r>
      <w:r>
        <w:rPr>
          <w:rFonts w:ascii="Arial" w:hAnsi="Arial" w:cs="Arial"/>
          <w:b/>
          <w:bCs/>
          <w:w w:val="100"/>
        </w:rPr>
        <w:t>6.02</w:t>
      </w:r>
      <w:r w:rsidR="00360460" w:rsidRPr="00360460">
        <w:rPr>
          <w:bCs/>
          <w:w w:val="100"/>
          <w:sz w:val="24"/>
        </w:rPr>
        <w:t>]</w:t>
      </w:r>
      <w:r>
        <w:rPr>
          <w:w w:val="100"/>
          <w:sz w:val="24"/>
          <w:szCs w:val="24"/>
        </w:rPr>
        <w:t>, Deceased (“Decedent”)</w:t>
      </w:r>
    </w:p>
    <w:p w14:paraId="41917BEB" w14:textId="3635A5E5" w:rsidR="004B2234" w:rsidRDefault="004B2234" w:rsidP="00B4642D">
      <w:pPr>
        <w:pStyle w:val="para"/>
        <w:widowControl/>
        <w:tabs>
          <w:tab w:val="right" w:leader="underscore" w:pos="9000"/>
        </w:tabs>
        <w:spacing w:before="0" w:after="200" w:line="240" w:lineRule="auto"/>
        <w:jc w:val="left"/>
        <w:rPr>
          <w:w w:val="100"/>
          <w:sz w:val="24"/>
          <w:szCs w:val="24"/>
        </w:rPr>
      </w:pPr>
      <w:r>
        <w:rPr>
          <w:w w:val="100"/>
          <w:sz w:val="24"/>
          <w:szCs w:val="24"/>
        </w:rPr>
        <w:t xml:space="preserve">Dear </w:t>
      </w:r>
      <w:r w:rsidR="00360460" w:rsidRPr="00360460">
        <w:rPr>
          <w:w w:val="100"/>
          <w:sz w:val="24"/>
          <w:szCs w:val="24"/>
        </w:rPr>
        <w:t>[</w:t>
      </w:r>
      <w:r>
        <w:rPr>
          <w:rFonts w:ascii="Arial" w:hAnsi="Arial" w:cs="Arial"/>
          <w:b/>
          <w:bCs/>
          <w:w w:val="100"/>
        </w:rPr>
        <w:t>2.46</w:t>
      </w:r>
      <w:r w:rsidR="00360460" w:rsidRPr="00360460">
        <w:rPr>
          <w:bCs/>
          <w:w w:val="100"/>
          <w:sz w:val="24"/>
        </w:rPr>
        <w:t>]</w:t>
      </w:r>
      <w:r>
        <w:rPr>
          <w:w w:val="100"/>
          <w:sz w:val="24"/>
          <w:szCs w:val="24"/>
        </w:rPr>
        <w:t>:</w:t>
      </w:r>
    </w:p>
    <w:p w14:paraId="41917BEC" w14:textId="77777777" w:rsidR="004B2234" w:rsidRDefault="004B2234" w:rsidP="00B4642D">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As you know, the order admitting Decedent’s [will/will and codicil] to probate for this estate was signed by the judge on </w:t>
      </w:r>
      <w:r w:rsidR="00360460" w:rsidRPr="00360460">
        <w:rPr>
          <w:w w:val="100"/>
          <w:sz w:val="24"/>
          <w:szCs w:val="24"/>
        </w:rPr>
        <w:t>[</w:t>
      </w:r>
      <w:r>
        <w:rPr>
          <w:rFonts w:ascii="Arial" w:hAnsi="Arial" w:cs="Arial"/>
          <w:b/>
          <w:bCs/>
          <w:w w:val="100"/>
        </w:rPr>
        <w:t>6.26</w:t>
      </w:r>
      <w:r w:rsidR="00360460" w:rsidRPr="00360460">
        <w:rPr>
          <w:bCs/>
          <w:w w:val="100"/>
          <w:sz w:val="24"/>
        </w:rPr>
        <w:t>]</w:t>
      </w:r>
      <w:r>
        <w:rPr>
          <w:w w:val="100"/>
          <w:sz w:val="24"/>
          <w:szCs w:val="24"/>
        </w:rPr>
        <w:t>. You have qualified as [executor/administrator] of this estate by the filing of your oath. This also entitles you to receive letters [testamentary/of administration].</w:t>
      </w:r>
    </w:p>
    <w:p w14:paraId="03B09232"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 xml:space="preserve">These letters represent evidence of your appointment as [executor/administrator] and give you authority, subject to appropriate orders of the court, to act for and on behalf of the estate. </w:t>
      </w:r>
      <w:r>
        <w:rPr>
          <w:color w:val="auto"/>
          <w:w w:val="100"/>
          <w:sz w:val="24"/>
          <w:szCs w:val="24"/>
        </w:rPr>
        <w:t>Original</w:t>
      </w:r>
      <w:r w:rsidRPr="008F536F">
        <w:rPr>
          <w:color w:val="auto"/>
          <w:w w:val="100"/>
          <w:sz w:val="24"/>
          <w:szCs w:val="24"/>
        </w:rPr>
        <w:t xml:space="preserve"> letters </w:t>
      </w:r>
      <w:r>
        <w:rPr>
          <w:color w:val="auto"/>
          <w:w w:val="100"/>
          <w:sz w:val="24"/>
          <w:szCs w:val="24"/>
        </w:rPr>
        <w:t>are</w:t>
      </w:r>
      <w:r w:rsidRPr="008F536F">
        <w:rPr>
          <w:color w:val="auto"/>
          <w:w w:val="100"/>
          <w:sz w:val="24"/>
          <w:szCs w:val="24"/>
        </w:rPr>
        <w:t xml:space="preserve"> enclosed for your use. All letters show the date on which they were issued and are valid for only sixty days from that date. Do not worry if they expire before they are used since, for a modest charge, we can obtain additional letters at any time during the administration. As you need additional letters, please contact our office.</w:t>
      </w:r>
    </w:p>
    <w:p w14:paraId="27E546BB"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 xml:space="preserve">The information contained in this letter is designed to enable you to more fully appreciate the office you now hold and to provide you with guidance to assist you in carrying out your responsibilities. </w:t>
      </w:r>
    </w:p>
    <w:p w14:paraId="21D7411D"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In your capacity</w:t>
      </w:r>
      <w:r>
        <w:rPr>
          <w:color w:val="auto"/>
          <w:w w:val="100"/>
          <w:sz w:val="24"/>
          <w:szCs w:val="24"/>
        </w:rPr>
        <w:t xml:space="preserve"> as [executor/administrator]</w:t>
      </w:r>
      <w:r w:rsidRPr="008F536F">
        <w:rPr>
          <w:color w:val="auto"/>
          <w:w w:val="100"/>
          <w:sz w:val="24"/>
          <w:szCs w:val="24"/>
        </w:rPr>
        <w:t xml:space="preserve">, you are Decedent’s representative for the purposes of terminating Decedent’s affairs. This is called “administration” and requires you to locate and assist in the valuation of Decedent’s assets; to help us in the preparation of an inventory listing those assets; to pay debts, expenses of administration, and taxes; and to distribute the remaining assets to the beneficiaries named in Decedent’s [will/will and codicil]. Do not commingle Decedent’s assets with your own while this administration is pending. Your </w:t>
      </w:r>
      <w:r w:rsidRPr="008F536F">
        <w:rPr>
          <w:color w:val="auto"/>
          <w:w w:val="100"/>
          <w:sz w:val="24"/>
          <w:szCs w:val="24"/>
        </w:rPr>
        <w:lastRenderedPageBreak/>
        <w:t xml:space="preserve">first duty should be to take possession of Decedent’s assets, valuable papers, and records and safeguard Decedent’s property. </w:t>
      </w:r>
    </w:p>
    <w:p w14:paraId="59E9AC75" w14:textId="77777777" w:rsidR="00BE58B0" w:rsidRPr="008F536F" w:rsidRDefault="00BE58B0" w:rsidP="00BE58B0">
      <w:pPr>
        <w:pStyle w:val="para"/>
        <w:spacing w:before="0" w:after="200" w:line="240" w:lineRule="auto"/>
        <w:ind w:firstLine="620"/>
        <w:jc w:val="left"/>
        <w:rPr>
          <w:color w:val="auto"/>
          <w:w w:val="100"/>
          <w:sz w:val="24"/>
          <w:szCs w:val="24"/>
        </w:rPr>
      </w:pPr>
      <w:r w:rsidRPr="008F536F">
        <w:rPr>
          <w:color w:val="auto"/>
          <w:w w:val="100"/>
          <w:sz w:val="24"/>
          <w:szCs w:val="24"/>
        </w:rPr>
        <w:t>The [executor’s/administrator’s] duty of care requires you to insure the estate promptly, typically with property and liability insurance on real property, automobiles, and personal property of significant value. Decedent’s contracts and support obligations might require other insurance. Construction and unusual activities may require specialized insurance.</w:t>
      </w:r>
    </w:p>
    <w:p w14:paraId="7489E3CF"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If you have not already, please inform each insurance agent of Decedent’s date of death and your appointment as [executor/administrator] and ask for the declarations page of each policy in which Decedent has an interest, the tasks and deadlines to keep each policy in force, and a list of any coverage changes needed immediately. Please ask to be added as a named insured to Decedent’s homeowner’s and other insurance policies. Do not remove Decedent’s name from any policy. On request, we can contact each agent for you.</w:t>
      </w:r>
    </w:p>
    <w:p w14:paraId="68F57E33" w14:textId="77777777" w:rsidR="00BE58B0"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Pr>
          <w:color w:val="auto"/>
          <w:w w:val="100"/>
          <w:sz w:val="24"/>
          <w:szCs w:val="24"/>
        </w:rPr>
        <w:t>If you open</w:t>
      </w:r>
      <w:r w:rsidRPr="008F536F">
        <w:rPr>
          <w:color w:val="auto"/>
          <w:w w:val="100"/>
          <w:sz w:val="24"/>
          <w:szCs w:val="24"/>
        </w:rPr>
        <w:t xml:space="preserve"> bank accounts and certificates of deposit for this estate, you will need an employer identification number. Please let us know if you wish for us to assist you in getting it. Also, be sure that the total estate funds at any one institution do not exceed the amount insured by the FDIC.</w:t>
      </w:r>
    </w:p>
    <w:p w14:paraId="2CF74A10"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To avoid personal liability, you should sign documents on behalf of the estate as “[</w:t>
      </w:r>
      <w:r w:rsidRPr="008F536F">
        <w:rPr>
          <w:rFonts w:ascii="Arial" w:hAnsi="Arial" w:cs="Arial"/>
          <w:b/>
          <w:bCs/>
          <w:color w:val="auto"/>
          <w:w w:val="100"/>
        </w:rPr>
        <w:t>2.45</w:t>
      </w:r>
      <w:r w:rsidRPr="008F536F">
        <w:rPr>
          <w:bCs/>
          <w:color w:val="auto"/>
          <w:w w:val="100"/>
          <w:sz w:val="24"/>
        </w:rPr>
        <w:t>]</w:t>
      </w:r>
      <w:r w:rsidRPr="008F536F">
        <w:rPr>
          <w:color w:val="auto"/>
          <w:w w:val="100"/>
          <w:sz w:val="24"/>
          <w:szCs w:val="24"/>
        </w:rPr>
        <w:t>, [Executor/Administrator] of the Estate of [</w:t>
      </w:r>
      <w:r w:rsidRPr="008F536F">
        <w:rPr>
          <w:rFonts w:ascii="Arial" w:hAnsi="Arial" w:cs="Arial"/>
          <w:b/>
          <w:bCs/>
          <w:color w:val="auto"/>
          <w:w w:val="100"/>
        </w:rPr>
        <w:t>6.02</w:t>
      </w:r>
      <w:r w:rsidRPr="008F536F">
        <w:rPr>
          <w:bCs/>
          <w:color w:val="auto"/>
          <w:w w:val="100"/>
          <w:sz w:val="24"/>
        </w:rPr>
        <w:t>]</w:t>
      </w:r>
      <w:r w:rsidRPr="008F536F">
        <w:rPr>
          <w:color w:val="auto"/>
          <w:w w:val="100"/>
          <w:sz w:val="24"/>
          <w:szCs w:val="24"/>
        </w:rPr>
        <w:t>, Deceased.”</w:t>
      </w:r>
    </w:p>
    <w:p w14:paraId="25E111FE" w14:textId="77777777" w:rsidR="00BE58B0"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Pr>
          <w:color w:val="auto"/>
          <w:w w:val="100"/>
          <w:sz w:val="24"/>
          <w:szCs w:val="24"/>
        </w:rPr>
        <w:t>Several deadlines must be observed</w:t>
      </w:r>
      <w:r w:rsidRPr="008F536F">
        <w:rPr>
          <w:color w:val="auto"/>
          <w:w w:val="100"/>
          <w:sz w:val="24"/>
          <w:szCs w:val="24"/>
        </w:rPr>
        <w:t xml:space="preserve">. </w:t>
      </w:r>
    </w:p>
    <w:p w14:paraId="467C105E" w14:textId="3129D482" w:rsidR="00BE58B0" w:rsidRPr="0064074D" w:rsidRDefault="00BE58B0" w:rsidP="00BE58B0">
      <w:pPr>
        <w:spacing w:afterLines="100" w:after="240" w:line="264" w:lineRule="exact"/>
        <w:ind w:firstLine="720"/>
        <w:rPr>
          <w:kern w:val="16"/>
        </w:rPr>
      </w:pPr>
      <w:r w:rsidRPr="0064074D">
        <w:t>Within sixty days following the order of the court that admitted Decedent’s will to probate, [</w:t>
      </w:r>
      <w:r w:rsidRPr="0064074D">
        <w:rPr>
          <w:rFonts w:ascii="Arial" w:hAnsi="Arial" w:cs="Arial"/>
          <w:b/>
          <w:bCs/>
          <w:sz w:val="20"/>
          <w:szCs w:val="20"/>
        </w:rPr>
        <w:t>6.69</w:t>
      </w:r>
      <w:r w:rsidRPr="0064074D">
        <w:rPr>
          <w:bCs/>
        </w:rPr>
        <w:t>]</w:t>
      </w:r>
      <w:r w:rsidRPr="0064074D">
        <w:t xml:space="preserve">, you </w:t>
      </w:r>
      <w:r w:rsidR="000F7BD0" w:rsidRPr="0064074D">
        <w:t>must</w:t>
      </w:r>
      <w:r w:rsidR="000F7BD0">
        <w:t xml:space="preserve"> send notice</w:t>
      </w:r>
      <w:r w:rsidR="000F7BD0" w:rsidRPr="0064074D">
        <w:t xml:space="preserve"> to each beneficiary named in Decedent’s will and provide them with copies of the will and order.</w:t>
      </w:r>
      <w:r w:rsidR="000F7BD0" w:rsidRPr="0064074D">
        <w:rPr>
          <w:kern w:val="16"/>
        </w:rPr>
        <w:t xml:space="preserve"> </w:t>
      </w:r>
      <w:r w:rsidR="000F7BD0">
        <w:rPr>
          <w:kern w:val="16"/>
        </w:rPr>
        <w:t>We will prepare these notices for your signature and will send them to each of those beneficiaries</w:t>
      </w:r>
      <w:r w:rsidR="000F7BD0" w:rsidRPr="0064074D">
        <w:rPr>
          <w:kern w:val="16"/>
        </w:rPr>
        <w:t xml:space="preserve">. Within </w:t>
      </w:r>
      <w:r w:rsidRPr="0064074D">
        <w:rPr>
          <w:kern w:val="16"/>
        </w:rPr>
        <w:t xml:space="preserve">ninety days following that order of the court, </w:t>
      </w:r>
      <w:r w:rsidRPr="0064074D">
        <w:t>[</w:t>
      </w:r>
      <w:r w:rsidRPr="0064074D">
        <w:rPr>
          <w:rFonts w:ascii="Arial" w:hAnsi="Arial" w:cs="Arial"/>
          <w:b/>
          <w:kern w:val="16"/>
          <w:sz w:val="20"/>
          <w:szCs w:val="20"/>
        </w:rPr>
        <w:t>6.69A</w:t>
      </w:r>
      <w:r w:rsidRPr="0064074D">
        <w:rPr>
          <w:bCs/>
        </w:rPr>
        <w:t>]</w:t>
      </w:r>
      <w:r w:rsidRPr="0064074D">
        <w:t>,</w:t>
      </w:r>
      <w:r w:rsidRPr="0064074D">
        <w:rPr>
          <w:kern w:val="16"/>
        </w:rPr>
        <w:t xml:space="preserve"> we must file a certificate regarding the notice given to the beneficiaries.</w:t>
      </w:r>
    </w:p>
    <w:p w14:paraId="208CD0D9" w14:textId="77777777" w:rsidR="00BE58B0" w:rsidRPr="0064074D"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64074D">
        <w:rPr>
          <w:color w:val="auto"/>
          <w:w w:val="100"/>
          <w:sz w:val="24"/>
          <w:szCs w:val="24"/>
        </w:rPr>
        <w:t>Within one month from the date the clerk first issued letters, [</w:t>
      </w:r>
      <w:r w:rsidRPr="0064074D">
        <w:rPr>
          <w:rFonts w:ascii="Arial" w:hAnsi="Arial" w:cs="Arial"/>
          <w:b/>
          <w:bCs/>
          <w:color w:val="auto"/>
          <w:w w:val="100"/>
        </w:rPr>
        <w:t>21.23</w:t>
      </w:r>
      <w:r w:rsidRPr="0064074D">
        <w:rPr>
          <w:bCs/>
          <w:color w:val="auto"/>
          <w:w w:val="100"/>
          <w:sz w:val="24"/>
        </w:rPr>
        <w:t>]</w:t>
      </w:r>
      <w:r w:rsidRPr="0064074D">
        <w:rPr>
          <w:color w:val="auto"/>
          <w:w w:val="100"/>
          <w:sz w:val="24"/>
          <w:szCs w:val="24"/>
        </w:rPr>
        <w:t xml:space="preserve">, notice to the general creditors of the estate must be published. We will prepare that notice and have it published in an appropriate newspaper. </w:t>
      </w:r>
    </w:p>
    <w:p w14:paraId="5534E17C" w14:textId="35176533" w:rsidR="00BE58B0" w:rsidRPr="000E128A"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64074D">
        <w:rPr>
          <w:color w:val="auto"/>
          <w:w w:val="100"/>
          <w:sz w:val="24"/>
          <w:szCs w:val="24"/>
        </w:rPr>
        <w:t>Within two months from the date the clerk</w:t>
      </w:r>
      <w:r>
        <w:rPr>
          <w:color w:val="auto"/>
          <w:w w:val="100"/>
          <w:sz w:val="24"/>
          <w:szCs w:val="24"/>
        </w:rPr>
        <w:t xml:space="preserve"> first issued letters</w:t>
      </w:r>
      <w:r w:rsidRPr="008F536F">
        <w:rPr>
          <w:color w:val="auto"/>
          <w:w w:val="100"/>
          <w:sz w:val="24"/>
          <w:szCs w:val="24"/>
        </w:rPr>
        <w:t>, [</w:t>
      </w:r>
      <w:r w:rsidRPr="008F536F">
        <w:rPr>
          <w:rFonts w:ascii="Arial" w:hAnsi="Arial" w:cs="Arial"/>
          <w:b/>
          <w:bCs/>
          <w:color w:val="auto"/>
          <w:w w:val="100"/>
        </w:rPr>
        <w:t>7.35</w:t>
      </w:r>
      <w:r w:rsidRPr="008F536F">
        <w:rPr>
          <w:bCs/>
          <w:color w:val="auto"/>
          <w:w w:val="100"/>
          <w:sz w:val="24"/>
        </w:rPr>
        <w:t>]</w:t>
      </w:r>
      <w:r w:rsidRPr="008F536F">
        <w:rPr>
          <w:color w:val="auto"/>
          <w:w w:val="100"/>
          <w:sz w:val="24"/>
          <w:szCs w:val="24"/>
        </w:rPr>
        <w:t xml:space="preserve">, you </w:t>
      </w:r>
      <w:r w:rsidR="00DA323E" w:rsidRPr="008F536F">
        <w:rPr>
          <w:color w:val="auto"/>
          <w:w w:val="100"/>
          <w:sz w:val="24"/>
          <w:szCs w:val="24"/>
        </w:rPr>
        <w:t xml:space="preserve">must send notice to any creditors whose notes are secured by liens on real estate or on automobiles or other personal property. If you will provide names and addresses, we will prepare </w:t>
      </w:r>
      <w:r w:rsidR="00DA323E">
        <w:rPr>
          <w:color w:val="auto"/>
          <w:w w:val="100"/>
          <w:sz w:val="24"/>
          <w:szCs w:val="24"/>
        </w:rPr>
        <w:t xml:space="preserve">these </w:t>
      </w:r>
      <w:r w:rsidR="00DA323E" w:rsidRPr="008F536F">
        <w:rPr>
          <w:color w:val="auto"/>
          <w:w w:val="100"/>
          <w:sz w:val="24"/>
          <w:szCs w:val="24"/>
        </w:rPr>
        <w:t xml:space="preserve">notices for </w:t>
      </w:r>
      <w:r w:rsidR="00DA323E">
        <w:rPr>
          <w:color w:val="auto"/>
          <w:w w:val="100"/>
          <w:sz w:val="24"/>
          <w:szCs w:val="24"/>
        </w:rPr>
        <w:t>your signature and will send them to each</w:t>
      </w:r>
      <w:r w:rsidR="00DA323E" w:rsidRPr="008F536F">
        <w:rPr>
          <w:color w:val="auto"/>
          <w:w w:val="100"/>
          <w:sz w:val="24"/>
          <w:szCs w:val="24"/>
        </w:rPr>
        <w:t xml:space="preserve"> </w:t>
      </w:r>
      <w:r w:rsidR="00DA323E">
        <w:rPr>
          <w:color w:val="auto"/>
          <w:w w:val="100"/>
          <w:sz w:val="24"/>
          <w:szCs w:val="24"/>
        </w:rPr>
        <w:t xml:space="preserve">of those </w:t>
      </w:r>
      <w:r w:rsidR="00DA323E" w:rsidRPr="008F536F">
        <w:rPr>
          <w:color w:val="auto"/>
          <w:w w:val="100"/>
          <w:sz w:val="24"/>
          <w:szCs w:val="24"/>
        </w:rPr>
        <w:t>creditor</w:t>
      </w:r>
      <w:r w:rsidR="00DA323E">
        <w:rPr>
          <w:color w:val="auto"/>
          <w:w w:val="100"/>
          <w:sz w:val="24"/>
          <w:szCs w:val="24"/>
        </w:rPr>
        <w:t>s</w:t>
      </w:r>
      <w:r w:rsidR="00DA323E" w:rsidRPr="000E128A">
        <w:rPr>
          <w:color w:val="auto"/>
          <w:w w:val="100"/>
          <w:sz w:val="24"/>
          <w:szCs w:val="24"/>
        </w:rPr>
        <w:t>.</w:t>
      </w:r>
      <w:r w:rsidR="00DA323E" w:rsidRPr="000E128A">
        <w:rPr>
          <w:kern w:val="16"/>
          <w:sz w:val="24"/>
          <w:szCs w:val="24"/>
        </w:rPr>
        <w:t xml:space="preserve"> We </w:t>
      </w:r>
      <w:r w:rsidRPr="000E128A">
        <w:rPr>
          <w:kern w:val="16"/>
          <w:sz w:val="24"/>
          <w:szCs w:val="24"/>
        </w:rPr>
        <w:t>must file your affidavit regarding notices to secured creditors, and we will prepare that for your signature.</w:t>
      </w:r>
    </w:p>
    <w:p w14:paraId="68BB24EA" w14:textId="77777777" w:rsidR="00BE58B0" w:rsidRPr="0064074D" w:rsidRDefault="00BE58B0" w:rsidP="00BE58B0">
      <w:pPr>
        <w:pStyle w:val="para"/>
        <w:widowControl/>
        <w:tabs>
          <w:tab w:val="right" w:leader="underscore" w:pos="9000"/>
        </w:tabs>
        <w:spacing w:before="0" w:after="200" w:line="240" w:lineRule="auto"/>
        <w:ind w:firstLine="620"/>
        <w:jc w:val="left"/>
        <w:rPr>
          <w:kern w:val="16"/>
        </w:rPr>
      </w:pPr>
      <w:r w:rsidRPr="0064074D">
        <w:rPr>
          <w:color w:val="auto"/>
          <w:w w:val="100"/>
          <w:sz w:val="24"/>
          <w:szCs w:val="24"/>
        </w:rPr>
        <w:t xml:space="preserve">Within ninety days after </w:t>
      </w:r>
      <w:r>
        <w:rPr>
          <w:color w:val="auto"/>
          <w:w w:val="100"/>
          <w:sz w:val="24"/>
          <w:szCs w:val="24"/>
        </w:rPr>
        <w:t>you qualified as [executor/administrator]</w:t>
      </w:r>
      <w:r w:rsidRPr="0064074D">
        <w:rPr>
          <w:color w:val="auto"/>
          <w:w w:val="100"/>
          <w:sz w:val="24"/>
          <w:szCs w:val="24"/>
        </w:rPr>
        <w:t xml:space="preserve">, </w:t>
      </w:r>
      <w:r w:rsidRPr="0064074D">
        <w:rPr>
          <w:kern w:val="16"/>
          <w:sz w:val="24"/>
          <w:szCs w:val="24"/>
        </w:rPr>
        <w:t>[</w:t>
      </w:r>
      <w:r w:rsidRPr="0064074D">
        <w:rPr>
          <w:rFonts w:ascii="Arial" w:hAnsi="Arial" w:cs="Arial"/>
          <w:b/>
          <w:bCs/>
          <w:kern w:val="16"/>
        </w:rPr>
        <w:t>6.85</w:t>
      </w:r>
      <w:r w:rsidRPr="0064074D">
        <w:rPr>
          <w:kern w:val="16"/>
          <w:sz w:val="24"/>
          <w:szCs w:val="24"/>
        </w:rPr>
        <w:t>]</w:t>
      </w:r>
      <w:r w:rsidRPr="0064074D">
        <w:rPr>
          <w:kern w:val="16"/>
        </w:rPr>
        <w:t xml:space="preserve">, </w:t>
      </w:r>
      <w:r w:rsidRPr="0064074D">
        <w:rPr>
          <w:color w:val="auto"/>
          <w:w w:val="100"/>
          <w:sz w:val="24"/>
          <w:szCs w:val="24"/>
        </w:rPr>
        <w:t>we must file an inventory, appraisement, and list of claims, including proper and complete descriptions of the various assets with accurate evaluations.</w:t>
      </w:r>
      <w:r w:rsidRPr="0064074D">
        <w:rPr>
          <w:kern w:val="16"/>
        </w:rPr>
        <w:t xml:space="preserve"> </w:t>
      </w:r>
      <w:r w:rsidRPr="0064074D">
        <w:rPr>
          <w:kern w:val="16"/>
          <w:sz w:val="24"/>
          <w:szCs w:val="24"/>
        </w:rPr>
        <w:t>It is possible to obtain an extension of time for filing this inventory. If it is necessary to file so-called death tax returns, we will want to coordinate this inventory with the United States Estate (and Generation-Skipping Transfer) Tax Return, and we will request this extension.</w:t>
      </w:r>
      <w:r w:rsidRPr="0064074D">
        <w:rPr>
          <w:kern w:val="16"/>
        </w:rPr>
        <w:t xml:space="preserve"> </w:t>
      </w:r>
    </w:p>
    <w:p w14:paraId="6E842129" w14:textId="77777777" w:rsidR="00BE58B0" w:rsidRPr="0064074D"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64074D">
        <w:rPr>
          <w:color w:val="auto"/>
          <w:w w:val="100"/>
          <w:sz w:val="24"/>
          <w:szCs w:val="24"/>
        </w:rPr>
        <w:t>If the value of Decedent’s gross estate (all of Decedent’s separate property [</w:t>
      </w:r>
      <w:r w:rsidRPr="0064074D">
        <w:rPr>
          <w:rFonts w:ascii="Arial" w:hAnsi="Arial" w:cs="Arial"/>
          <w:b/>
          <w:bCs/>
          <w:color w:val="auto"/>
          <w:w w:val="100"/>
        </w:rPr>
        <w:t>include if D was married:</w:t>
      </w:r>
      <w:r w:rsidRPr="0064074D">
        <w:rPr>
          <w:color w:val="auto"/>
          <w:w w:val="100"/>
          <w:sz w:val="24"/>
          <w:szCs w:val="24"/>
        </w:rPr>
        <w:t xml:space="preserve"> plus half the community property] plus the value of certain lifetime transfers) exceeds $[</w:t>
      </w:r>
      <w:r w:rsidRPr="0064074D">
        <w:rPr>
          <w:rFonts w:ascii="Arial" w:hAnsi="Arial" w:cs="Arial"/>
          <w:b/>
          <w:bCs/>
          <w:color w:val="auto"/>
          <w:w w:val="100"/>
        </w:rPr>
        <w:t>26.21</w:t>
      </w:r>
      <w:r w:rsidRPr="0064074D">
        <w:rPr>
          <w:bCs/>
          <w:color w:val="auto"/>
          <w:w w:val="100"/>
          <w:sz w:val="24"/>
        </w:rPr>
        <w:t>]</w:t>
      </w:r>
      <w:r w:rsidRPr="0064074D">
        <w:rPr>
          <w:color w:val="auto"/>
          <w:w w:val="100"/>
          <w:sz w:val="24"/>
          <w:szCs w:val="24"/>
        </w:rPr>
        <w:t xml:space="preserve"> on the date of death, a federal estate tax return must be filed and estate taxes paid within nine months after the date of death, [</w:t>
      </w:r>
      <w:r w:rsidRPr="0064074D">
        <w:rPr>
          <w:rFonts w:ascii="Arial" w:hAnsi="Arial" w:cs="Arial"/>
          <w:b/>
          <w:bCs/>
          <w:color w:val="auto"/>
          <w:w w:val="100"/>
        </w:rPr>
        <w:t>26.28</w:t>
      </w:r>
      <w:r w:rsidRPr="0064074D">
        <w:rPr>
          <w:bCs/>
          <w:color w:val="auto"/>
          <w:w w:val="100"/>
          <w:sz w:val="24"/>
        </w:rPr>
        <w:t>]</w:t>
      </w:r>
      <w:r w:rsidRPr="0064074D">
        <w:rPr>
          <w:color w:val="auto"/>
          <w:w w:val="100"/>
          <w:sz w:val="24"/>
          <w:szCs w:val="24"/>
        </w:rPr>
        <w:t>. [</w:t>
      </w:r>
      <w:r w:rsidRPr="0064074D">
        <w:rPr>
          <w:rFonts w:ascii="Arial" w:hAnsi="Arial" w:cs="Arial"/>
          <w:b/>
          <w:bCs/>
          <w:color w:val="auto"/>
          <w:w w:val="100"/>
        </w:rPr>
        <w:t xml:space="preserve">Include if D was married: </w:t>
      </w:r>
      <w:r w:rsidRPr="0064074D">
        <w:rPr>
          <w:color w:val="auto"/>
          <w:w w:val="100"/>
          <w:sz w:val="24"/>
          <w:szCs w:val="24"/>
        </w:rPr>
        <w:t>In smaller estates, the surviving spouse may wish to file an estate tax return to elect portability of the deceased spouse’s unused exclusion (“DSUE”) amount.] For purposes of that return, Decedent’s assets are valued as of the date of death. The preparation of that return is not a part of our regular service and is subject to a separate agreement for payment of additional fees and expenses.</w:t>
      </w:r>
    </w:p>
    <w:p w14:paraId="5DF92145" w14:textId="77777777" w:rsidR="00BE58B0" w:rsidRPr="004513FA" w:rsidRDefault="00BE58B0" w:rsidP="00BE58B0">
      <w:pPr>
        <w:pStyle w:val="UserInstructionjustifyhidden"/>
      </w:pPr>
      <w:r w:rsidRPr="004513FA">
        <w:t>Include the following paragraph if disclaimers appear necessary for postmortem tax or other planning.</w:t>
      </w:r>
    </w:p>
    <w:p w14:paraId="397E4C2D"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64074D">
        <w:rPr>
          <w:color w:val="auto"/>
          <w:w w:val="100"/>
          <w:sz w:val="24"/>
          <w:szCs w:val="24"/>
        </w:rPr>
        <w:t>Nine months after the date of death, [</w:t>
      </w:r>
      <w:r w:rsidRPr="0064074D">
        <w:rPr>
          <w:rFonts w:ascii="Arial" w:hAnsi="Arial" w:cs="Arial"/>
          <w:b/>
          <w:bCs/>
          <w:color w:val="auto"/>
          <w:w w:val="100"/>
        </w:rPr>
        <w:t>26.28</w:t>
      </w:r>
      <w:r w:rsidRPr="008F536F">
        <w:rPr>
          <w:bCs/>
          <w:color w:val="auto"/>
          <w:w w:val="100"/>
          <w:sz w:val="24"/>
        </w:rPr>
        <w:t>]</w:t>
      </w:r>
      <w:r w:rsidRPr="008F536F">
        <w:rPr>
          <w:color w:val="auto"/>
          <w:w w:val="100"/>
          <w:sz w:val="24"/>
          <w:szCs w:val="24"/>
        </w:rPr>
        <w:t>, is also the deadline to file a qualified disclaimer. The goal of a disclaimer is to pass assets from the named beneficiary into the hands of an alternate beneficiary—for example, the Family Trust—</w:t>
      </w:r>
      <w:r>
        <w:rPr>
          <w:color w:val="auto"/>
          <w:w w:val="100"/>
          <w:sz w:val="24"/>
          <w:szCs w:val="24"/>
        </w:rPr>
        <w:t xml:space="preserve">in order </w:t>
      </w:r>
      <w:r w:rsidRPr="008F536F">
        <w:rPr>
          <w:color w:val="auto"/>
          <w:w w:val="100"/>
          <w:sz w:val="24"/>
          <w:szCs w:val="24"/>
        </w:rPr>
        <w:t>to minimize tax or other adverse consequences of the asset’s passing to the “wrong” beneficiary. For the disclaimer to qualify, the original beneficiary must not have assumed any aspect of ownership of the disclaimed assets. For example, if the surviving spouse files a claim with the insurance company, receives a check for the insurance proceeds, and places that check in that spouse’s personal account, the surviving spouse has accepted that gift and the surviving spouse’s disclaimer option is lost. Likewise, if a child is named as the primary beneficiary of a retirement plan or an IRA and, following the parent owner’s death, does an “IRA rollover” of the deceased parent’s funds into a new IRA in the child’s name, the child has effectively accepted that gift and the disclaimer option is again precluded. As these examples illustrate, before you or any other beneficiary collects an asset, changes title on an account, applies for insurance benefits, or makes an IRA rollover, you should contact a qualified advisor to discuss the tax and other issues involved in these decisions.</w:t>
      </w:r>
    </w:p>
    <w:p w14:paraId="3D3D3AB5" w14:textId="77777777" w:rsidR="00BE58B0" w:rsidRPr="004513FA" w:rsidRDefault="00BE58B0" w:rsidP="00BE58B0">
      <w:pPr>
        <w:pStyle w:val="UserInstructioncenterhidden"/>
        <w:spacing w:line="240" w:lineRule="auto"/>
        <w:ind w:left="2160" w:right="2160"/>
      </w:pPr>
      <w:r w:rsidRPr="004513FA">
        <w:t>Include the following paragraph if D was not married.</w:t>
      </w:r>
    </w:p>
    <w:p w14:paraId="7101FBDB"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Decedent’s final federal income tax return (Form 1040), covering the period beginning on January 1 and ending on the date of Decedent’s death, must be prepared and filed if Decedent had a certain minimum amount of gross income. If one is due, it must be filed and the taxes must be paid on or before April 15 of the year following Decedent’s death.</w:t>
      </w:r>
    </w:p>
    <w:p w14:paraId="7427F30C" w14:textId="77777777" w:rsidR="00BE58B0" w:rsidRPr="004513FA" w:rsidRDefault="00BE58B0" w:rsidP="00BE58B0">
      <w:pPr>
        <w:pStyle w:val="UserInstructionjustifyhidden"/>
      </w:pPr>
      <w:r w:rsidRPr="004513FA">
        <w:t>Include the following paragraph if income tax return is to be filed for D’s estate.</w:t>
      </w:r>
    </w:p>
    <w:p w14:paraId="3BA4022E"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 xml:space="preserve">A fiduciary income tax return for income of Decedent’s estate (Form 1041) will be required in all years in which the income of Decedent’s estate exceeds $600. The beginning date of the first year is the date of Decedent’s death, and it may end on December 31 or at the end of any other month, provided that it does not extend beyond one year from the date of Decedent’s death. </w:t>
      </w:r>
    </w:p>
    <w:p w14:paraId="1DF46B11" w14:textId="77777777" w:rsidR="00BE58B0" w:rsidRPr="004513FA" w:rsidRDefault="00BE58B0" w:rsidP="00BE58B0">
      <w:pPr>
        <w:pStyle w:val="UserInstructioncenterhidden"/>
        <w:spacing w:line="240" w:lineRule="auto"/>
      </w:pPr>
      <w:r w:rsidRPr="004513FA">
        <w:t>Continue with the following.</w:t>
      </w:r>
    </w:p>
    <w:p w14:paraId="44BC222C"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You will be responsible for calendaring and for preparing all of Decedent’s and the estate’s gift and income tax returns. Most clients use a certified public accountant to keep the estate’s fiduciary accounts, prepare tax returns, and complete Schedule K-1 (Form 1041) (to report each beneficiary’s share of income, deductions, and credits).</w:t>
      </w:r>
    </w:p>
    <w:p w14:paraId="0077D844"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With Decedent’s death, the beneficiaries receive many assets having a new income tax basis. Generally speaking, the income tax basis for most assets will be adjusted to the values shown on the federal estate tax return or, if no such return, then as shown on the statutory inventory that will be prepared. Most retirement benefits do not receive an adjusted basis. Death benefits from those plans and life insurance are not controlled by a will but are controlled by beneficiary designations. These assets are usually referred to as “nonprobate assets.” Taxation of retirement benefits is a matter for you to discuss with the person who prepares income tax returns for the estate.</w:t>
      </w:r>
    </w:p>
    <w:p w14:paraId="10B059DC"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If this estate will exceed $[</w:t>
      </w:r>
      <w:r w:rsidRPr="008F536F">
        <w:rPr>
          <w:rFonts w:ascii="Arial" w:hAnsi="Arial" w:cs="Arial"/>
          <w:b/>
          <w:bCs/>
          <w:color w:val="auto"/>
          <w:w w:val="100"/>
        </w:rPr>
        <w:t>26.21</w:t>
      </w:r>
      <w:r w:rsidRPr="008F536F">
        <w:rPr>
          <w:bCs/>
          <w:color w:val="auto"/>
          <w:w w:val="100"/>
          <w:sz w:val="24"/>
        </w:rPr>
        <w:t>]</w:t>
      </w:r>
      <w:r w:rsidRPr="008F536F">
        <w:rPr>
          <w:color w:val="auto"/>
          <w:w w:val="100"/>
          <w:sz w:val="24"/>
          <w:szCs w:val="24"/>
        </w:rPr>
        <w:t xml:space="preserve">, PLEASE do not transfer </w:t>
      </w:r>
      <w:r w:rsidRPr="008F536F">
        <w:rPr>
          <w:rStyle w:val="italic"/>
          <w:color w:val="auto"/>
          <w:sz w:val="24"/>
          <w:szCs w:val="24"/>
        </w:rPr>
        <w:t>any</w:t>
      </w:r>
      <w:r w:rsidRPr="008F536F">
        <w:rPr>
          <w:color w:val="auto"/>
          <w:w w:val="100"/>
          <w:sz w:val="24"/>
          <w:szCs w:val="24"/>
        </w:rPr>
        <w:t xml:space="preserve"> assets to anyone without consulting with us.</w:t>
      </w:r>
    </w:p>
    <w:p w14:paraId="58740664"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 xml:space="preserve">Claims of creditors may be presented at any time while the estate is open. For a debt to be paid, it must go through the claim process. If a claim is presented to you, you must allow it within thirty days or it will be automatically disallowed. Even when you allow a claim, it still must be presented to the court for approval before it can be paid. Please remember that you are </w:t>
      </w:r>
      <w:r w:rsidRPr="008F536F">
        <w:rPr>
          <w:rStyle w:val="italic"/>
          <w:color w:val="auto"/>
          <w:szCs w:val="24"/>
        </w:rPr>
        <w:t xml:space="preserve">not </w:t>
      </w:r>
      <w:r w:rsidRPr="008F536F">
        <w:rPr>
          <w:color w:val="auto"/>
          <w:w w:val="100"/>
          <w:sz w:val="24"/>
          <w:szCs w:val="24"/>
        </w:rPr>
        <w:t>to write any checks on the estate’s account without court authority.</w:t>
      </w:r>
    </w:p>
    <w:p w14:paraId="76261BE1"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After all known debts and taxes of Decedent and of Decedent’s estate have been paid, it is necessary to properly identify the rightful heirs and beneficiaries who will receive the balance of the estate. Following this determination, a final accounting must be prepared and filed to show all receipts and disbursements during the administration. If the estate is not closed within one year, annual accountings will be required while the estate remains open. When the court has approved the final accounting, you may deliver the assets of the estate to the heirs and beneficiaries and, upon doing so, you will be discharged. You must not make any transfers to anyone without approval by the court.</w:t>
      </w:r>
    </w:p>
    <w:p w14:paraId="2F087E53"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By way of a partial summary, the administration of this estate is an essential and very important process. It clears title to real estate. It settles legitimate debts (and wipes out others). It establishes a new income tax basis for Decedent’s property [</w:t>
      </w:r>
      <w:r w:rsidRPr="008F536F">
        <w:rPr>
          <w:rFonts w:ascii="Arial" w:hAnsi="Arial" w:cs="Arial"/>
          <w:b/>
          <w:bCs/>
          <w:color w:val="auto"/>
          <w:w w:val="100"/>
        </w:rPr>
        <w:t xml:space="preserve">include if D was married: </w:t>
      </w:r>
      <w:r w:rsidRPr="008F536F">
        <w:rPr>
          <w:color w:val="auto"/>
          <w:w w:val="100"/>
          <w:sz w:val="24"/>
          <w:szCs w:val="24"/>
        </w:rPr>
        <w:t>as well as for the community property interest of the surviving spouse]. It permits clear title distribution of property to the persons entitled to receive it under the terms of the will.</w:t>
      </w:r>
    </w:p>
    <w:p w14:paraId="73E30C18" w14:textId="77777777" w:rsidR="00BE58B0" w:rsidRPr="008F536F" w:rsidRDefault="00BE58B0" w:rsidP="00BE58B0">
      <w:pPr>
        <w:pStyle w:val="para"/>
        <w:widowControl/>
        <w:tabs>
          <w:tab w:val="right" w:leader="underscore" w:pos="9000"/>
        </w:tabs>
        <w:spacing w:before="0" w:after="200" w:line="240" w:lineRule="auto"/>
        <w:ind w:firstLine="620"/>
        <w:jc w:val="left"/>
        <w:rPr>
          <w:color w:val="auto"/>
          <w:w w:val="100"/>
          <w:sz w:val="24"/>
          <w:szCs w:val="24"/>
        </w:rPr>
      </w:pPr>
      <w:r w:rsidRPr="008F536F">
        <w:rPr>
          <w:color w:val="auto"/>
          <w:w w:val="100"/>
          <w:sz w:val="24"/>
          <w:szCs w:val="24"/>
        </w:rPr>
        <w:t xml:space="preserve">To the extent that you elect to handle matters directly, it is very important for you to keep us advised and to furnish copies of all outgoing and incoming correspondence and other documents, especially matters dealing with the Internal Revenue Service. </w:t>
      </w:r>
    </w:p>
    <w:p w14:paraId="41917C06" w14:textId="6853DBAB" w:rsidR="004B2234" w:rsidRDefault="00BE58B0" w:rsidP="00BE58B0">
      <w:pPr>
        <w:pStyle w:val="para"/>
        <w:widowControl/>
        <w:tabs>
          <w:tab w:val="right" w:leader="underscore" w:pos="9000"/>
        </w:tabs>
        <w:spacing w:before="0" w:after="200" w:line="240" w:lineRule="auto"/>
        <w:ind w:firstLine="620"/>
        <w:jc w:val="left"/>
        <w:rPr>
          <w:w w:val="100"/>
          <w:sz w:val="24"/>
          <w:szCs w:val="24"/>
        </w:rPr>
      </w:pPr>
      <w:r w:rsidRPr="008F536F">
        <w:rPr>
          <w:color w:val="auto"/>
          <w:w w:val="100"/>
          <w:sz w:val="24"/>
          <w:szCs w:val="24"/>
        </w:rPr>
        <w:t>To assist you in properly performing your duties, we will need to obtain a great deal of additional information, and we will need to work together very closely in the coming months. For your records, copies of all documents that have not yet been sent to you are enclosed, and we will send you copies of all future correspondence and other documents as they are prepared. Please contact me if you have any questions concerning this letter, your duties, or the future procedures. We look forward to working closely with you. Kindest regards</w:t>
      </w:r>
      <w:r w:rsidR="004B2234">
        <w:rPr>
          <w:w w:val="100"/>
          <w:sz w:val="24"/>
          <w:szCs w:val="24"/>
        </w:rPr>
        <w:t>.</w:t>
      </w:r>
    </w:p>
    <w:p w14:paraId="41917C07" w14:textId="77777777" w:rsidR="004B2234" w:rsidRDefault="004B2234" w:rsidP="00B4642D">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Yours very truly,</w:t>
      </w:r>
    </w:p>
    <w:p w14:paraId="41917C08" w14:textId="77777777" w:rsidR="004B2234" w:rsidRDefault="004B2234" w:rsidP="00B4642D">
      <w:pPr>
        <w:pStyle w:val="para"/>
        <w:widowControl/>
        <w:tabs>
          <w:tab w:val="left" w:leader="underscore" w:pos="8160"/>
        </w:tabs>
        <w:suppressAutoHyphens/>
        <w:spacing w:before="240" w:after="480" w:line="240" w:lineRule="auto"/>
        <w:ind w:left="4320"/>
        <w:jc w:val="left"/>
        <w:rPr>
          <w:w w:val="100"/>
          <w:sz w:val="24"/>
          <w:szCs w:val="24"/>
        </w:rPr>
      </w:pPr>
      <w:r>
        <w:rPr>
          <w:w w:val="100"/>
          <w:sz w:val="24"/>
          <w:szCs w:val="24"/>
        </w:rPr>
        <w:t>[</w:t>
      </w:r>
      <w:r>
        <w:rPr>
          <w:rFonts w:ascii="Arial" w:hAnsi="Arial" w:cs="Arial"/>
          <w:b/>
          <w:bCs/>
          <w:w w:val="100"/>
        </w:rPr>
        <w:t>Attorney’s name</w:t>
      </w:r>
      <w:r>
        <w:rPr>
          <w:w w:val="100"/>
          <w:sz w:val="24"/>
          <w:szCs w:val="24"/>
        </w:rPr>
        <w:t>]</w:t>
      </w:r>
    </w:p>
    <w:p w14:paraId="41917C09" w14:textId="77777777" w:rsidR="004B2234" w:rsidRDefault="004B2234" w:rsidP="00B4642D">
      <w:pPr>
        <w:pStyle w:val="para"/>
        <w:widowControl/>
        <w:tabs>
          <w:tab w:val="right" w:leader="underscore" w:pos="9000"/>
        </w:tabs>
        <w:spacing w:before="0" w:after="0" w:line="240" w:lineRule="auto"/>
        <w:ind w:left="380" w:hanging="380"/>
        <w:jc w:val="left"/>
        <w:rPr>
          <w:w w:val="100"/>
          <w:sz w:val="24"/>
          <w:szCs w:val="24"/>
        </w:rPr>
      </w:pPr>
      <w:r>
        <w:rPr>
          <w:w w:val="100"/>
          <w:sz w:val="24"/>
          <w:szCs w:val="24"/>
        </w:rPr>
        <w:t>Enclosures</w:t>
      </w:r>
      <w:r>
        <w:rPr>
          <w:w w:val="100"/>
          <w:sz w:val="24"/>
          <w:szCs w:val="24"/>
        </w:rPr>
        <w:br/>
        <w:t>Letters [testamentary/of administration]</w:t>
      </w:r>
    </w:p>
    <w:p w14:paraId="41917C0A" w14:textId="68D191A6" w:rsidR="00EB2927" w:rsidRPr="00360460" w:rsidRDefault="004B2234" w:rsidP="00B4642D">
      <w:pPr>
        <w:pStyle w:val="para"/>
        <w:widowControl/>
        <w:tabs>
          <w:tab w:val="right" w:leader="underscore" w:pos="9000"/>
        </w:tabs>
        <w:spacing w:before="0" w:after="200" w:line="240" w:lineRule="auto"/>
        <w:ind w:left="380"/>
        <w:jc w:val="left"/>
        <w:rPr>
          <w:w w:val="100"/>
          <w:sz w:val="24"/>
          <w:szCs w:val="24"/>
        </w:rPr>
      </w:pPr>
      <w:r>
        <w:rPr>
          <w:w w:val="100"/>
          <w:sz w:val="24"/>
          <w:szCs w:val="24"/>
        </w:rPr>
        <w:t>[</w:t>
      </w:r>
      <w:r>
        <w:rPr>
          <w:rFonts w:ascii="Arial" w:hAnsi="Arial" w:cs="Arial"/>
          <w:b/>
          <w:bCs/>
          <w:w w:val="100"/>
        </w:rPr>
        <w:t>List copies of other documents and correspondence, e.g., application, proof, order, oath</w:t>
      </w:r>
      <w:r>
        <w:rPr>
          <w:w w:val="100"/>
          <w:sz w:val="24"/>
          <w:szCs w:val="24"/>
        </w:rPr>
        <w:t>]</w:t>
      </w:r>
    </w:p>
    <w:sectPr w:rsidR="00EB2927" w:rsidRPr="00360460" w:rsidSect="004B22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61F6C" w14:textId="77777777" w:rsidR="00B126E4" w:rsidRDefault="00B126E4">
      <w:r>
        <w:separator/>
      </w:r>
    </w:p>
  </w:endnote>
  <w:endnote w:type="continuationSeparator" w:id="0">
    <w:p w14:paraId="11B66283" w14:textId="77777777" w:rsidR="00B126E4" w:rsidRDefault="00B12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02674" w14:textId="77777777" w:rsidR="00B126E4" w:rsidRDefault="00B126E4">
      <w:r>
        <w:separator/>
      </w:r>
    </w:p>
  </w:footnote>
  <w:footnote w:type="continuationSeparator" w:id="0">
    <w:p w14:paraId="7CF92099" w14:textId="77777777" w:rsidR="00B126E4" w:rsidRDefault="00B126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1243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CA7E4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FF0056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4DBEE9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7760A1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640A95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76884860">
    <w:abstractNumId w:val="8"/>
  </w:num>
  <w:num w:numId="2" w16cid:durableId="1863397987">
    <w:abstractNumId w:val="8"/>
  </w:num>
  <w:num w:numId="3" w16cid:durableId="652833697">
    <w:abstractNumId w:val="3"/>
  </w:num>
  <w:num w:numId="4" w16cid:durableId="2068995554">
    <w:abstractNumId w:val="3"/>
  </w:num>
  <w:num w:numId="5" w16cid:durableId="1730610467">
    <w:abstractNumId w:val="9"/>
  </w:num>
  <w:num w:numId="6" w16cid:durableId="1249845519">
    <w:abstractNumId w:val="9"/>
  </w:num>
  <w:num w:numId="7" w16cid:durableId="1359087844">
    <w:abstractNumId w:val="7"/>
  </w:num>
  <w:num w:numId="8" w16cid:durableId="1894078898">
    <w:abstractNumId w:val="7"/>
  </w:num>
  <w:num w:numId="9" w16cid:durableId="1075930855">
    <w:abstractNumId w:val="13"/>
  </w:num>
  <w:num w:numId="10" w16cid:durableId="539051352">
    <w:abstractNumId w:val="15"/>
  </w:num>
  <w:num w:numId="11" w16cid:durableId="741490030">
    <w:abstractNumId w:val="8"/>
  </w:num>
  <w:num w:numId="12" w16cid:durableId="77948442">
    <w:abstractNumId w:val="3"/>
  </w:num>
  <w:num w:numId="13" w16cid:durableId="1060329508">
    <w:abstractNumId w:val="9"/>
  </w:num>
  <w:num w:numId="14" w16cid:durableId="432479331">
    <w:abstractNumId w:val="7"/>
  </w:num>
  <w:num w:numId="15" w16cid:durableId="1462728134">
    <w:abstractNumId w:val="6"/>
  </w:num>
  <w:num w:numId="16" w16cid:durableId="1895118196">
    <w:abstractNumId w:val="5"/>
  </w:num>
  <w:num w:numId="17" w16cid:durableId="1417940441">
    <w:abstractNumId w:val="4"/>
  </w:num>
  <w:num w:numId="18" w16cid:durableId="974914655">
    <w:abstractNumId w:val="2"/>
  </w:num>
  <w:num w:numId="19" w16cid:durableId="892622642">
    <w:abstractNumId w:val="1"/>
  </w:num>
  <w:num w:numId="20" w16cid:durableId="2108696861">
    <w:abstractNumId w:val="0"/>
  </w:num>
  <w:num w:numId="21" w16cid:durableId="704453541">
    <w:abstractNumId w:val="11"/>
  </w:num>
  <w:num w:numId="22" w16cid:durableId="992371788">
    <w:abstractNumId w:val="12"/>
  </w:num>
  <w:num w:numId="23" w16cid:durableId="179859414">
    <w:abstractNumId w:val="14"/>
  </w:num>
  <w:num w:numId="24" w16cid:durableId="1900945089">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555360753">
    <w:abstractNumId w:val="10"/>
    <w:lvlOverride w:ilvl="0">
      <w:lvl w:ilvl="0">
        <w:start w:val="1"/>
        <w:numFmt w:val="bullet"/>
        <w:lvlText w:val="["/>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73.docx"/>
    <w:docVar w:name="TBBStampDate" w:val="05-14-2026"/>
    <w:docVar w:name="TBBVer" w:val="docx"/>
    <w:docVar w:name="TBBYear" w:val="2026"/>
  </w:docVars>
  <w:rsids>
    <w:rsidRoot w:val="004B2234"/>
    <w:rsid w:val="00000802"/>
    <w:rsid w:val="00006704"/>
    <w:rsid w:val="00035105"/>
    <w:rsid w:val="0004285B"/>
    <w:rsid w:val="00055419"/>
    <w:rsid w:val="00075517"/>
    <w:rsid w:val="000A5288"/>
    <w:rsid w:val="000A6DC7"/>
    <w:rsid w:val="000B0F31"/>
    <w:rsid w:val="000B259E"/>
    <w:rsid w:val="000D0833"/>
    <w:rsid w:val="000D5936"/>
    <w:rsid w:val="000F7BD0"/>
    <w:rsid w:val="00103258"/>
    <w:rsid w:val="00104FA6"/>
    <w:rsid w:val="00124EC7"/>
    <w:rsid w:val="001357DF"/>
    <w:rsid w:val="00167635"/>
    <w:rsid w:val="00174ED8"/>
    <w:rsid w:val="001A6B14"/>
    <w:rsid w:val="001B4977"/>
    <w:rsid w:val="001C7034"/>
    <w:rsid w:val="001D113B"/>
    <w:rsid w:val="00212AD4"/>
    <w:rsid w:val="0021587C"/>
    <w:rsid w:val="00220537"/>
    <w:rsid w:val="00221D27"/>
    <w:rsid w:val="002733D1"/>
    <w:rsid w:val="002C1959"/>
    <w:rsid w:val="002C211D"/>
    <w:rsid w:val="002C3E97"/>
    <w:rsid w:val="002C456D"/>
    <w:rsid w:val="002D4648"/>
    <w:rsid w:val="002D4815"/>
    <w:rsid w:val="002F4B1D"/>
    <w:rsid w:val="00300E00"/>
    <w:rsid w:val="003119E6"/>
    <w:rsid w:val="00313D85"/>
    <w:rsid w:val="00316652"/>
    <w:rsid w:val="00320622"/>
    <w:rsid w:val="00360460"/>
    <w:rsid w:val="00382C39"/>
    <w:rsid w:val="00385003"/>
    <w:rsid w:val="003864FA"/>
    <w:rsid w:val="00386B7C"/>
    <w:rsid w:val="0039278E"/>
    <w:rsid w:val="00397006"/>
    <w:rsid w:val="00397661"/>
    <w:rsid w:val="003A1D8C"/>
    <w:rsid w:val="003A4ED6"/>
    <w:rsid w:val="003C0B1C"/>
    <w:rsid w:val="003D7347"/>
    <w:rsid w:val="003E1B11"/>
    <w:rsid w:val="004031E7"/>
    <w:rsid w:val="00417CAA"/>
    <w:rsid w:val="004217A3"/>
    <w:rsid w:val="004513FA"/>
    <w:rsid w:val="0046632A"/>
    <w:rsid w:val="004A1988"/>
    <w:rsid w:val="004B2234"/>
    <w:rsid w:val="004C7340"/>
    <w:rsid w:val="004D7E2D"/>
    <w:rsid w:val="004E287C"/>
    <w:rsid w:val="004E343B"/>
    <w:rsid w:val="004E3642"/>
    <w:rsid w:val="004F6E30"/>
    <w:rsid w:val="005038A4"/>
    <w:rsid w:val="005140F1"/>
    <w:rsid w:val="0054029D"/>
    <w:rsid w:val="00551332"/>
    <w:rsid w:val="00562AB8"/>
    <w:rsid w:val="0056511D"/>
    <w:rsid w:val="00570333"/>
    <w:rsid w:val="00574113"/>
    <w:rsid w:val="00582F0A"/>
    <w:rsid w:val="005906DA"/>
    <w:rsid w:val="005967D5"/>
    <w:rsid w:val="005B3021"/>
    <w:rsid w:val="005B458F"/>
    <w:rsid w:val="005B4AE9"/>
    <w:rsid w:val="005B683D"/>
    <w:rsid w:val="005C4081"/>
    <w:rsid w:val="00607DAB"/>
    <w:rsid w:val="006161C4"/>
    <w:rsid w:val="006213A8"/>
    <w:rsid w:val="00630A0B"/>
    <w:rsid w:val="00650674"/>
    <w:rsid w:val="006546C9"/>
    <w:rsid w:val="0065626A"/>
    <w:rsid w:val="00662FDF"/>
    <w:rsid w:val="00676127"/>
    <w:rsid w:val="00680E59"/>
    <w:rsid w:val="006959A6"/>
    <w:rsid w:val="006C0869"/>
    <w:rsid w:val="006C1BBF"/>
    <w:rsid w:val="006C2810"/>
    <w:rsid w:val="006C3E39"/>
    <w:rsid w:val="006D14DF"/>
    <w:rsid w:val="006E529A"/>
    <w:rsid w:val="006E5431"/>
    <w:rsid w:val="0070594F"/>
    <w:rsid w:val="00746473"/>
    <w:rsid w:val="00747899"/>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02EDB"/>
    <w:rsid w:val="00813EC4"/>
    <w:rsid w:val="00820566"/>
    <w:rsid w:val="008222BD"/>
    <w:rsid w:val="00832078"/>
    <w:rsid w:val="00841179"/>
    <w:rsid w:val="008575EE"/>
    <w:rsid w:val="00877F53"/>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17A2F"/>
    <w:rsid w:val="00A34BDC"/>
    <w:rsid w:val="00AA74A2"/>
    <w:rsid w:val="00AB3BCD"/>
    <w:rsid w:val="00AE05F0"/>
    <w:rsid w:val="00AE61F5"/>
    <w:rsid w:val="00B009AA"/>
    <w:rsid w:val="00B12519"/>
    <w:rsid w:val="00B126E4"/>
    <w:rsid w:val="00B157A8"/>
    <w:rsid w:val="00B15C0D"/>
    <w:rsid w:val="00B17021"/>
    <w:rsid w:val="00B4642D"/>
    <w:rsid w:val="00B53927"/>
    <w:rsid w:val="00BA13C4"/>
    <w:rsid w:val="00BE2E17"/>
    <w:rsid w:val="00BE58B0"/>
    <w:rsid w:val="00BF603A"/>
    <w:rsid w:val="00C04F3D"/>
    <w:rsid w:val="00C1069F"/>
    <w:rsid w:val="00C16AEA"/>
    <w:rsid w:val="00C445FE"/>
    <w:rsid w:val="00C53FF7"/>
    <w:rsid w:val="00C61C3E"/>
    <w:rsid w:val="00CA5BD5"/>
    <w:rsid w:val="00CB155D"/>
    <w:rsid w:val="00CC5C2E"/>
    <w:rsid w:val="00CD150A"/>
    <w:rsid w:val="00CF080B"/>
    <w:rsid w:val="00CF7073"/>
    <w:rsid w:val="00D25F76"/>
    <w:rsid w:val="00D2766B"/>
    <w:rsid w:val="00D35A20"/>
    <w:rsid w:val="00D47494"/>
    <w:rsid w:val="00D562D6"/>
    <w:rsid w:val="00D93A2E"/>
    <w:rsid w:val="00D94635"/>
    <w:rsid w:val="00D957EF"/>
    <w:rsid w:val="00D96D86"/>
    <w:rsid w:val="00DA05D8"/>
    <w:rsid w:val="00DA323E"/>
    <w:rsid w:val="00DB22E2"/>
    <w:rsid w:val="00DB48F2"/>
    <w:rsid w:val="00DC4601"/>
    <w:rsid w:val="00DF64BF"/>
    <w:rsid w:val="00E17361"/>
    <w:rsid w:val="00E7012A"/>
    <w:rsid w:val="00E8508F"/>
    <w:rsid w:val="00E90259"/>
    <w:rsid w:val="00E95688"/>
    <w:rsid w:val="00EA3DEE"/>
    <w:rsid w:val="00EB2927"/>
    <w:rsid w:val="00EF0713"/>
    <w:rsid w:val="00EF3BC1"/>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917BE5"/>
  <w15:chartTrackingRefBased/>
  <w15:docId w15:val="{969641FF-7B6B-4D7D-82CE-3C739FDED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B2234"/>
    <w:rPr>
      <w:sz w:val="24"/>
      <w:szCs w:val="24"/>
    </w:rPr>
  </w:style>
  <w:style w:type="paragraph" w:styleId="Heading1">
    <w:name w:val="heading 1"/>
    <w:basedOn w:val="Normal"/>
    <w:next w:val="Normal"/>
    <w:uiPriority w:val="1"/>
    <w:qFormat/>
    <w:rsid w:val="004B2234"/>
    <w:pPr>
      <w:keepNext/>
      <w:spacing w:before="240" w:after="60"/>
      <w:outlineLvl w:val="0"/>
    </w:pPr>
    <w:rPr>
      <w:b/>
      <w:bCs/>
      <w:kern w:val="32"/>
      <w:szCs w:val="32"/>
    </w:rPr>
  </w:style>
  <w:style w:type="paragraph" w:styleId="Heading2">
    <w:name w:val="heading 2"/>
    <w:basedOn w:val="Normal"/>
    <w:next w:val="Normal"/>
    <w:uiPriority w:val="1"/>
    <w:qFormat/>
    <w:rsid w:val="004B2234"/>
    <w:pPr>
      <w:keepNext/>
      <w:spacing w:before="240" w:after="60"/>
      <w:outlineLvl w:val="1"/>
    </w:pPr>
    <w:rPr>
      <w:b/>
      <w:bCs/>
      <w:iCs/>
      <w:szCs w:val="28"/>
    </w:rPr>
  </w:style>
  <w:style w:type="paragraph" w:styleId="Heading3">
    <w:name w:val="heading 3"/>
    <w:basedOn w:val="Normal"/>
    <w:next w:val="Normal"/>
    <w:uiPriority w:val="1"/>
    <w:qFormat/>
    <w:rsid w:val="004B2234"/>
    <w:pPr>
      <w:spacing w:before="240" w:after="60"/>
      <w:outlineLvl w:val="2"/>
    </w:pPr>
    <w:rPr>
      <w:b/>
      <w:bCs/>
      <w:szCs w:val="26"/>
    </w:rPr>
  </w:style>
  <w:style w:type="paragraph" w:styleId="Heading4">
    <w:name w:val="heading 4"/>
    <w:basedOn w:val="Normal"/>
    <w:next w:val="Normal"/>
    <w:uiPriority w:val="1"/>
    <w:qFormat/>
    <w:rsid w:val="004B2234"/>
    <w:pPr>
      <w:spacing w:before="240" w:after="60"/>
      <w:outlineLvl w:val="3"/>
    </w:pPr>
    <w:rPr>
      <w:b/>
      <w:bCs/>
      <w:szCs w:val="28"/>
    </w:rPr>
  </w:style>
  <w:style w:type="paragraph" w:styleId="Heading5">
    <w:name w:val="heading 5"/>
    <w:basedOn w:val="Normal"/>
    <w:next w:val="Normal"/>
    <w:uiPriority w:val="1"/>
    <w:qFormat/>
    <w:rsid w:val="004B2234"/>
    <w:pPr>
      <w:spacing w:before="240" w:after="60"/>
      <w:outlineLvl w:val="4"/>
    </w:pPr>
    <w:rPr>
      <w:b/>
      <w:bCs/>
      <w:iCs/>
      <w:szCs w:val="26"/>
    </w:rPr>
  </w:style>
  <w:style w:type="paragraph" w:styleId="Heading6">
    <w:name w:val="heading 6"/>
    <w:basedOn w:val="Normal"/>
    <w:next w:val="Normal"/>
    <w:uiPriority w:val="1"/>
    <w:qFormat/>
    <w:rsid w:val="004B2234"/>
    <w:pPr>
      <w:spacing w:before="240" w:after="60"/>
      <w:outlineLvl w:val="5"/>
    </w:pPr>
    <w:rPr>
      <w:b/>
      <w:bCs/>
      <w:szCs w:val="22"/>
    </w:rPr>
  </w:style>
  <w:style w:type="paragraph" w:styleId="Heading7">
    <w:name w:val="heading 7"/>
    <w:basedOn w:val="Normal"/>
    <w:next w:val="Normal"/>
    <w:uiPriority w:val="1"/>
    <w:qFormat/>
    <w:rsid w:val="004B2234"/>
    <w:pPr>
      <w:spacing w:before="240" w:after="60"/>
      <w:outlineLvl w:val="6"/>
    </w:pPr>
    <w:rPr>
      <w:b/>
    </w:rPr>
  </w:style>
  <w:style w:type="paragraph" w:styleId="Heading8">
    <w:name w:val="heading 8"/>
    <w:basedOn w:val="Normal"/>
    <w:next w:val="Normal"/>
    <w:uiPriority w:val="1"/>
    <w:qFormat/>
    <w:rsid w:val="004B2234"/>
    <w:pPr>
      <w:spacing w:before="240" w:after="60"/>
      <w:outlineLvl w:val="7"/>
    </w:pPr>
    <w:rPr>
      <w:b/>
      <w:iCs/>
    </w:rPr>
  </w:style>
  <w:style w:type="paragraph" w:styleId="Heading9">
    <w:name w:val="heading 9"/>
    <w:basedOn w:val="Normal"/>
    <w:next w:val="Normal"/>
    <w:uiPriority w:val="2"/>
    <w:qFormat/>
    <w:rsid w:val="004B223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B2234"/>
    <w:pPr>
      <w:spacing w:after="240"/>
    </w:pPr>
    <w:rPr>
      <w:szCs w:val="20"/>
    </w:rPr>
  </w:style>
  <w:style w:type="paragraph" w:styleId="Quote">
    <w:name w:val="Quote"/>
    <w:basedOn w:val="BodyText"/>
    <w:uiPriority w:val="2"/>
    <w:qFormat/>
    <w:rsid w:val="004B2234"/>
    <w:pPr>
      <w:ind w:left="1440" w:right="1440"/>
    </w:pPr>
  </w:style>
  <w:style w:type="paragraph" w:customStyle="1" w:styleId="BodyTextContinued">
    <w:name w:val="Body Text Continued"/>
    <w:basedOn w:val="BodyText"/>
    <w:next w:val="BodyText"/>
    <w:rsid w:val="004B2234"/>
  </w:style>
  <w:style w:type="paragraph" w:styleId="TOC1">
    <w:name w:val="toc 1"/>
    <w:basedOn w:val="Normal"/>
    <w:next w:val="Normal"/>
    <w:autoRedefine/>
    <w:uiPriority w:val="2"/>
    <w:rsid w:val="004B223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B223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B223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B223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B223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B223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B223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B223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B223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B2234"/>
    <w:pPr>
      <w:numPr>
        <w:numId w:val="9"/>
      </w:numPr>
    </w:pPr>
  </w:style>
  <w:style w:type="paragraph" w:styleId="ListNumber2">
    <w:name w:val="List Number 2"/>
    <w:basedOn w:val="BodyText"/>
    <w:uiPriority w:val="1"/>
    <w:rsid w:val="004B2234"/>
    <w:pPr>
      <w:numPr>
        <w:numId w:val="10"/>
      </w:numPr>
    </w:pPr>
  </w:style>
  <w:style w:type="paragraph" w:styleId="ListBullet">
    <w:name w:val="List Bullet"/>
    <w:basedOn w:val="BodyText"/>
    <w:uiPriority w:val="1"/>
    <w:rsid w:val="004B2234"/>
    <w:pPr>
      <w:numPr>
        <w:numId w:val="5"/>
      </w:numPr>
      <w:tabs>
        <w:tab w:val="left" w:pos="1440"/>
      </w:tabs>
    </w:pPr>
    <w:rPr>
      <w:szCs w:val="24"/>
    </w:rPr>
  </w:style>
  <w:style w:type="paragraph" w:styleId="ListBullet2">
    <w:name w:val="List Bullet 2"/>
    <w:basedOn w:val="BodyText"/>
    <w:uiPriority w:val="1"/>
    <w:rsid w:val="004B2234"/>
    <w:pPr>
      <w:numPr>
        <w:numId w:val="7"/>
      </w:numPr>
      <w:tabs>
        <w:tab w:val="clear" w:pos="1440"/>
        <w:tab w:val="left" w:pos="720"/>
      </w:tabs>
      <w:ind w:left="720"/>
    </w:pPr>
    <w:rPr>
      <w:szCs w:val="24"/>
    </w:rPr>
  </w:style>
  <w:style w:type="paragraph" w:styleId="Header">
    <w:name w:val="header"/>
    <w:basedOn w:val="Normal"/>
    <w:uiPriority w:val="1"/>
    <w:rsid w:val="004B2234"/>
    <w:pPr>
      <w:tabs>
        <w:tab w:val="center" w:pos="4680"/>
        <w:tab w:val="right" w:pos="9360"/>
      </w:tabs>
    </w:pPr>
  </w:style>
  <w:style w:type="paragraph" w:styleId="Footer">
    <w:name w:val="footer"/>
    <w:basedOn w:val="Normal"/>
    <w:rsid w:val="004B2234"/>
    <w:pPr>
      <w:tabs>
        <w:tab w:val="center" w:pos="4680"/>
        <w:tab w:val="right" w:pos="9360"/>
      </w:tabs>
    </w:pPr>
  </w:style>
  <w:style w:type="table" w:styleId="TableGrid">
    <w:name w:val="Table Grid"/>
    <w:basedOn w:val="TableNormal"/>
    <w:rsid w:val="004B2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B223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B2234"/>
    <w:rPr>
      <w:rFonts w:ascii="Times New Roman Bold" w:hAnsi="Times New Roman Bold" w:cs="Arial"/>
      <w:b/>
      <w:vanish/>
      <w:color w:val="FF0000"/>
    </w:rPr>
  </w:style>
  <w:style w:type="paragraph" w:customStyle="1" w:styleId="Formhidden">
    <w:name w:val="Form_hidden"/>
    <w:rsid w:val="004B223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B223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B2234"/>
    <w:rPr>
      <w:sz w:val="20"/>
      <w:szCs w:val="20"/>
    </w:rPr>
  </w:style>
  <w:style w:type="paragraph" w:customStyle="1" w:styleId="Titlehidden">
    <w:name w:val="Title_hidden"/>
    <w:uiPriority w:val="99"/>
    <w:qFormat/>
    <w:rsid w:val="004B223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4B223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B223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B223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B223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B223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B2234"/>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4B223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B2234"/>
    <w:rPr>
      <w:rFonts w:ascii="Arial" w:hAnsi="Arial"/>
      <w:i/>
      <w:vanish/>
      <w:color w:val="FF0000"/>
      <w:szCs w:val="24"/>
    </w:rPr>
  </w:style>
  <w:style w:type="paragraph" w:customStyle="1" w:styleId="MnLevel4hidden">
    <w:name w:val="MnLevel4_hidden"/>
    <w:uiPriority w:val="2"/>
    <w:rsid w:val="004B223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B2234"/>
    <w:pPr>
      <w:spacing w:after="240"/>
      <w:ind w:right="5760"/>
    </w:pPr>
    <w:rPr>
      <w:rFonts w:ascii="Arial" w:hAnsi="Arial" w:cs="Arial"/>
      <w:i/>
      <w:vanish/>
      <w:color w:val="FF0000"/>
    </w:rPr>
  </w:style>
  <w:style w:type="paragraph" w:customStyle="1" w:styleId="MnListnhidden">
    <w:name w:val="MnList_n_hidden"/>
    <w:uiPriority w:val="2"/>
    <w:rsid w:val="004B223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B223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B223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B223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B223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B223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B223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B223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B223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B223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B223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B223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B223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B223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B223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B223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B2234"/>
    <w:rPr>
      <w:vanish/>
      <w:sz w:val="4"/>
      <w:szCs w:val="24"/>
    </w:rPr>
  </w:style>
  <w:style w:type="paragraph" w:customStyle="1" w:styleId="clausetitlehidden">
    <w:name w:val="clause_title_hidden"/>
    <w:basedOn w:val="Normal"/>
    <w:uiPriority w:val="2"/>
    <w:qFormat/>
    <w:rsid w:val="004B2234"/>
    <w:pPr>
      <w:spacing w:after="240"/>
      <w:ind w:left="720" w:hanging="720"/>
    </w:pPr>
    <w:rPr>
      <w:i/>
      <w:vanish/>
      <w:color w:val="FF0000"/>
    </w:rPr>
  </w:style>
  <w:style w:type="paragraph" w:customStyle="1" w:styleId="clausenumberhidden">
    <w:name w:val="clause_number_hidden"/>
    <w:basedOn w:val="Normal"/>
    <w:uiPriority w:val="2"/>
    <w:qFormat/>
    <w:rsid w:val="004B2234"/>
    <w:pPr>
      <w:spacing w:after="240"/>
    </w:pPr>
    <w:rPr>
      <w:rFonts w:ascii="Arial" w:hAnsi="Arial"/>
      <w:b/>
      <w:i/>
      <w:vanish/>
      <w:color w:val="FF0000"/>
      <w:sz w:val="20"/>
    </w:rPr>
  </w:style>
  <w:style w:type="paragraph" w:customStyle="1" w:styleId="TitleBeforeSubhidden">
    <w:name w:val="TitleBeforeSub_hidden"/>
    <w:uiPriority w:val="2"/>
    <w:qFormat/>
    <w:rsid w:val="004B223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4B2234"/>
  </w:style>
  <w:style w:type="paragraph" w:customStyle="1" w:styleId="TitleBeforeSub">
    <w:name w:val="TitleBeforeSub"/>
    <w:uiPriority w:val="2"/>
    <w:qFormat/>
    <w:rsid w:val="004B2234"/>
    <w:pPr>
      <w:keepNext/>
      <w:widowControl w:val="0"/>
      <w:suppressAutoHyphens/>
      <w:spacing w:line="340" w:lineRule="atLeast"/>
      <w:jc w:val="center"/>
    </w:pPr>
    <w:rPr>
      <w:b/>
      <w:sz w:val="28"/>
      <w:szCs w:val="24"/>
    </w:rPr>
  </w:style>
  <w:style w:type="paragraph" w:customStyle="1" w:styleId="TableAnchor">
    <w:name w:val="TableAnchor"/>
    <w:uiPriority w:val="99"/>
    <w:rsid w:val="004B2234"/>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4B2234"/>
    <w:pPr>
      <w:widowControl w:val="0"/>
      <w:autoSpaceDE w:val="0"/>
      <w:autoSpaceDN w:val="0"/>
      <w:adjustRightInd w:val="0"/>
      <w:spacing w:before="100" w:after="100" w:line="240" w:lineRule="atLeast"/>
      <w:jc w:val="both"/>
    </w:pPr>
    <w:rPr>
      <w:color w:val="000000"/>
      <w:w w:val="0"/>
    </w:rPr>
  </w:style>
  <w:style w:type="character" w:customStyle="1" w:styleId="italic">
    <w:name w:val="italic"/>
    <w:uiPriority w:val="99"/>
    <w:rsid w:val="004B2234"/>
    <w:rPr>
      <w:i/>
      <w:iCs/>
      <w:color w:val="000000"/>
      <w:w w:val="100"/>
      <w:lang w:val="en-US"/>
    </w:rPr>
  </w:style>
  <w:style w:type="character" w:customStyle="1" w:styleId="substitute">
    <w:name w:val="substitute"/>
    <w:uiPriority w:val="99"/>
    <w:rsid w:val="004B2234"/>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0C068B4E-275C-4767-B8E1-492471E7AEFA}">
  <ds:schemaRefs>
    <ds:schemaRef ds:uri="http://schemas.microsoft.com/sharepoint/v3/contenttype/forms"/>
  </ds:schemaRefs>
</ds:datastoreItem>
</file>

<file path=customXml/itemProps2.xml><?xml version="1.0" encoding="utf-8"?>
<ds:datastoreItem xmlns:ds="http://schemas.openxmlformats.org/officeDocument/2006/customXml" ds:itemID="{6C06AFC1-9CD0-4652-9CFE-9D4A1E8713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38C43E-BA76-41AF-A98B-10EE015AE38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3B39800D-62D8-478E-A9D5-413823A1889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2</Pages>
  <Words>1767</Words>
  <Characters>10075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12</cp:revision>
  <cp:lastPrinted>2014-03-21T14:14:00Z</cp:lastPrinted>
  <dcterms:created xsi:type="dcterms:W3CDTF">2021-12-10T16:19:00Z</dcterms:created>
  <dcterms:modified xsi:type="dcterms:W3CDTF">2026-05-14T15:21:00Z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27307800.0000000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