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25198" w:rsidRPr="00125198" w:rsidRDefault="00125198" w:rsidP="005F6C6F">
      <w:pPr>
        <w:pStyle w:val="Titlehidden"/>
        <w:rPr>
          <w:sz w:val="18"/>
        </w:rPr>
      </w:pPr>
      <w:r w:rsidRPr="00125198">
        <w:rPr>
          <w:rFonts w:ascii="Times New Roman" w:hAnsi="Times New Roman"/>
          <w:sz w:val="18"/>
        </w:rPr>
        <w:br/>
      </w:r>
      <w:r w:rsidRPr="00125198">
        <w:rPr>
          <w:rFonts w:ascii="Times New Roman" w:hAnsi="Times New Roman"/>
          <w:sz w:val="24"/>
        </w:rPr>
        <w:t>Letter 87—Confirm Representation and Fee and Outline Anticipated Services (SE)</w:t>
      </w:r>
      <w:r>
        <w:rPr>
          <w:rFonts w:ascii="Times New Roman" w:hAnsi="Times New Roman"/>
          <w:sz w:val="24"/>
        </w:rPr>
        <w:br/>
      </w:r>
    </w:p>
    <w:p w:rsidR="00125198" w:rsidRDefault="00125198" w:rsidP="005F6C6F">
      <w:pPr>
        <w:pStyle w:val="UserInstructionjustifyhidden"/>
      </w:pPr>
      <w:r>
        <w:t>Send two copies of this letter, together with a copy of the Texas Lawyer’s Creed, to each client.</w:t>
      </w:r>
    </w:p>
    <w:p w:rsidR="00125198" w:rsidRDefault="00A8596A" w:rsidP="005F6C6F">
      <w:pPr>
        <w:pStyle w:val="para"/>
        <w:widowControl/>
        <w:tabs>
          <w:tab w:val="right" w:leader="underscore" w:pos="9000"/>
        </w:tabs>
        <w:spacing w:before="480" w:after="200" w:line="240" w:lineRule="auto"/>
        <w:jc w:val="left"/>
        <w:rPr>
          <w:w w:val="100"/>
          <w:sz w:val="24"/>
          <w:szCs w:val="24"/>
        </w:rPr>
      </w:pPr>
      <w:r w:rsidRPr="00A8596A">
        <w:rPr>
          <w:rStyle w:val="substitute"/>
          <w:rFonts w:ascii="Times New Roman" w:hAnsi="Times New Roman" w:cs="Times New Roman"/>
          <w:b w:val="0"/>
          <w:w w:val="100"/>
          <w:sz w:val="24"/>
        </w:rPr>
        <w:t>[</w:t>
      </w:r>
      <w:r w:rsidR="00125198">
        <w:rPr>
          <w:rStyle w:val="substitute"/>
          <w:w w:val="100"/>
        </w:rPr>
        <w:t>Today’s date</w:t>
      </w:r>
      <w:r w:rsidRPr="00A8596A">
        <w:rPr>
          <w:rStyle w:val="substitute"/>
          <w:rFonts w:ascii="Times New Roman" w:hAnsi="Times New Roman" w:cs="Times New Roman"/>
          <w:b w:val="0"/>
          <w:w w:val="100"/>
          <w:sz w:val="24"/>
        </w:rPr>
        <w:t>]</w:t>
      </w:r>
    </w:p>
    <w:p w:rsidR="00125198" w:rsidRDefault="00A8596A" w:rsidP="005F6C6F">
      <w:pPr>
        <w:pStyle w:val="para"/>
        <w:widowControl/>
        <w:tabs>
          <w:tab w:val="right" w:leader="underscore" w:pos="9000"/>
        </w:tabs>
        <w:spacing w:before="0" w:after="480" w:line="240" w:lineRule="auto"/>
        <w:jc w:val="left"/>
        <w:rPr>
          <w:w w:val="100"/>
          <w:sz w:val="24"/>
          <w:szCs w:val="24"/>
        </w:rPr>
      </w:pPr>
      <w:r w:rsidRPr="00A8596A">
        <w:rPr>
          <w:bCs/>
          <w:w w:val="100"/>
          <w:sz w:val="24"/>
        </w:rPr>
        <w:t>[</w:t>
      </w:r>
      <w:r w:rsidR="00125198">
        <w:rPr>
          <w:rFonts w:ascii="Arial" w:hAnsi="Arial" w:cs="Arial"/>
          <w:b/>
          <w:bCs/>
          <w:w w:val="100"/>
        </w:rPr>
        <w:t>2.116</w:t>
      </w:r>
      <w:r w:rsidRPr="00A8596A">
        <w:rPr>
          <w:bCs/>
          <w:w w:val="100"/>
          <w:sz w:val="24"/>
        </w:rPr>
        <w:t>]</w:t>
      </w:r>
      <w:r w:rsidR="00125198">
        <w:rPr>
          <w:w w:val="100"/>
          <w:sz w:val="24"/>
          <w:szCs w:val="24"/>
        </w:rPr>
        <w:br/>
      </w:r>
      <w:r w:rsidRPr="00A8596A">
        <w:rPr>
          <w:bCs/>
          <w:w w:val="100"/>
          <w:sz w:val="24"/>
        </w:rPr>
        <w:t>[</w:t>
      </w:r>
      <w:r w:rsidR="00125198">
        <w:rPr>
          <w:rFonts w:ascii="Arial" w:hAnsi="Arial" w:cs="Arial"/>
          <w:b/>
          <w:bCs/>
          <w:w w:val="100"/>
        </w:rPr>
        <w:t>2.118</w:t>
      </w:r>
      <w:r w:rsidRPr="00A8596A">
        <w:rPr>
          <w:bCs/>
          <w:w w:val="100"/>
          <w:sz w:val="24"/>
        </w:rPr>
        <w:t>]</w:t>
      </w:r>
      <w:r w:rsidR="00125198">
        <w:rPr>
          <w:w w:val="100"/>
          <w:sz w:val="24"/>
          <w:szCs w:val="24"/>
        </w:rPr>
        <w:br/>
      </w:r>
      <w:r w:rsidRPr="00A8596A">
        <w:rPr>
          <w:bCs/>
          <w:w w:val="100"/>
          <w:sz w:val="24"/>
        </w:rPr>
        <w:t>[</w:t>
      </w:r>
      <w:r w:rsidR="00125198">
        <w:rPr>
          <w:rFonts w:ascii="Arial" w:hAnsi="Arial" w:cs="Arial"/>
          <w:b/>
          <w:bCs/>
          <w:w w:val="100"/>
        </w:rPr>
        <w:t>2.119</w:t>
      </w:r>
      <w:r w:rsidRPr="00A8596A">
        <w:rPr>
          <w:bCs/>
          <w:w w:val="100"/>
          <w:sz w:val="24"/>
        </w:rPr>
        <w:t>]</w:t>
      </w:r>
    </w:p>
    <w:p w:rsidR="00125198" w:rsidRDefault="00125198" w:rsidP="005F6C6F">
      <w:pPr>
        <w:pStyle w:val="para"/>
        <w:widowControl/>
        <w:tabs>
          <w:tab w:val="right" w:leader="underscore" w:pos="9000"/>
        </w:tabs>
        <w:spacing w:before="0" w:after="200" w:line="240" w:lineRule="auto"/>
        <w:jc w:val="left"/>
        <w:rPr>
          <w:w w:val="100"/>
          <w:sz w:val="24"/>
          <w:szCs w:val="24"/>
        </w:rPr>
      </w:pPr>
      <w:r>
        <w:rPr>
          <w:w w:val="100"/>
          <w:sz w:val="24"/>
          <w:szCs w:val="24"/>
        </w:rPr>
        <w:t xml:space="preserve">Dear </w:t>
      </w:r>
      <w:r w:rsidR="00A8596A" w:rsidRPr="00A8596A">
        <w:rPr>
          <w:w w:val="100"/>
          <w:sz w:val="24"/>
          <w:szCs w:val="24"/>
        </w:rPr>
        <w:t>[</w:t>
      </w:r>
      <w:r>
        <w:rPr>
          <w:rFonts w:ascii="Arial" w:hAnsi="Arial" w:cs="Arial"/>
          <w:b/>
          <w:bCs/>
          <w:w w:val="100"/>
        </w:rPr>
        <w:t>2.117</w:t>
      </w:r>
      <w:r w:rsidR="00A8596A" w:rsidRPr="00A8596A">
        <w:rPr>
          <w:bCs/>
          <w:w w:val="100"/>
          <w:sz w:val="24"/>
        </w:rPr>
        <w:t>]</w:t>
      </w:r>
      <w:r>
        <w:rPr>
          <w:w w:val="100"/>
          <w:sz w:val="24"/>
          <w:szCs w:val="24"/>
        </w:rPr>
        <w:t>:</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Thank you very much for employing this firm to represent you in the probate of the estate of </w:t>
      </w:r>
      <w:r w:rsidR="00A8596A" w:rsidRPr="00A8596A">
        <w:rPr>
          <w:w w:val="100"/>
          <w:sz w:val="24"/>
          <w:szCs w:val="24"/>
        </w:rPr>
        <w:t>[</w:t>
      </w:r>
      <w:r>
        <w:rPr>
          <w:rFonts w:ascii="Arial" w:hAnsi="Arial" w:cs="Arial"/>
          <w:b/>
          <w:bCs/>
          <w:w w:val="100"/>
        </w:rPr>
        <w:t>1.02</w:t>
      </w:r>
      <w:r w:rsidR="00A8596A" w:rsidRPr="00A8596A">
        <w:rPr>
          <w:bCs/>
          <w:w w:val="100"/>
          <w:sz w:val="24"/>
        </w:rPr>
        <w:t>]</w:t>
      </w:r>
      <w:r>
        <w:rPr>
          <w:w w:val="100"/>
          <w:sz w:val="24"/>
          <w:szCs w:val="24"/>
        </w:rPr>
        <w:t xml:space="preserve"> (“Decedent”).</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Receipt is hereby acknowledged of a cash payment of $</w:t>
      </w:r>
      <w:r w:rsidR="00A8596A" w:rsidRPr="00A8596A">
        <w:rPr>
          <w:w w:val="100"/>
          <w:sz w:val="24"/>
          <w:szCs w:val="24"/>
        </w:rPr>
        <w:t>[</w:t>
      </w:r>
      <w:r>
        <w:rPr>
          <w:rFonts w:ascii="Arial" w:hAnsi="Arial" w:cs="Arial"/>
          <w:b/>
          <w:bCs/>
          <w:w w:val="100"/>
        </w:rPr>
        <w:t>25.02A</w:t>
      </w:r>
      <w:r w:rsidR="00A8596A" w:rsidRPr="00A8596A">
        <w:rPr>
          <w:bCs/>
          <w:w w:val="100"/>
          <w:sz w:val="24"/>
        </w:rPr>
        <w:t>]</w:t>
      </w:r>
      <w:r>
        <w:rPr>
          <w:w w:val="100"/>
          <w:sz w:val="24"/>
          <w:szCs w:val="24"/>
        </w:rPr>
        <w:t>, which will be for legal fees due with respect to such representation. In addition to this fee, you are to pay or reimburse this firm for the payment of all court costs, certified copies, reproduction charges, long-distance telephone charges, travel expenses, and other necessary out-of-pocket expenses.</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You have furnished information concerning the assets of this estate, together with their values. Based on this information, we have determined that the </w:t>
      </w:r>
      <w:r w:rsidRPr="00C55A72">
        <w:rPr>
          <w:rStyle w:val="italic"/>
          <w:sz w:val="24"/>
          <w:szCs w:val="24"/>
        </w:rPr>
        <w:t>gross</w:t>
      </w:r>
      <w:r>
        <w:rPr>
          <w:rStyle w:val="italic"/>
          <w:szCs w:val="24"/>
        </w:rPr>
        <w:t xml:space="preserve"> </w:t>
      </w:r>
      <w:r>
        <w:rPr>
          <w:w w:val="100"/>
          <w:sz w:val="24"/>
          <w:szCs w:val="24"/>
        </w:rPr>
        <w:t>value of Decedent’s interest in these assets, exclusive of homestead and exempt property, d</w:t>
      </w:r>
      <w:r w:rsidR="00C55A72">
        <w:rPr>
          <w:w w:val="100"/>
          <w:sz w:val="24"/>
          <w:szCs w:val="24"/>
        </w:rPr>
        <w:t>oes</w:t>
      </w:r>
      <w:r>
        <w:rPr>
          <w:w w:val="100"/>
          <w:sz w:val="24"/>
          <w:szCs w:val="24"/>
        </w:rPr>
        <w:t xml:space="preserve"> not exceed $</w:t>
      </w:r>
      <w:r w:rsidR="00C55A72">
        <w:rPr>
          <w:w w:val="100"/>
          <w:sz w:val="24"/>
          <w:szCs w:val="24"/>
        </w:rPr>
        <w:t>75</w:t>
      </w:r>
      <w:r>
        <w:rPr>
          <w:w w:val="100"/>
          <w:sz w:val="24"/>
          <w:szCs w:val="24"/>
        </w:rPr>
        <w:t>,000 and that the nonexempt assets exceed the known liabilities of this estate. Based on the accuracy of this assumption, it is possible for us to avoid a full-scale administration of this estate and we will be able to handle the probate as a small estate proceeding.</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For the family to obtain possession and good title to the assets, it is necessary to prepare a Small Estate Affidavit, which </w:t>
      </w:r>
      <w:r w:rsidRPr="00A8596A">
        <w:rPr>
          <w:rStyle w:val="italic"/>
          <w:sz w:val="24"/>
          <w:szCs w:val="24"/>
        </w:rPr>
        <w:t>must</w:t>
      </w:r>
      <w:r>
        <w:rPr>
          <w:rStyle w:val="italic"/>
          <w:szCs w:val="24"/>
        </w:rPr>
        <w:t xml:space="preserve"> </w:t>
      </w:r>
      <w:r>
        <w:rPr>
          <w:w w:val="100"/>
          <w:sz w:val="24"/>
          <w:szCs w:val="24"/>
        </w:rPr>
        <w:t xml:space="preserve">be signed by all the distributees of the estate; if any of them are minors or incompetents, it must be signed by their guardians or next of kin. Unless </w:t>
      </w:r>
      <w:r w:rsidRPr="00A8596A">
        <w:rPr>
          <w:rStyle w:val="italic"/>
          <w:sz w:val="24"/>
          <w:szCs w:val="24"/>
        </w:rPr>
        <w:t>all</w:t>
      </w:r>
      <w:r>
        <w:rPr>
          <w:rStyle w:val="italic"/>
          <w:szCs w:val="24"/>
        </w:rPr>
        <w:t xml:space="preserve"> </w:t>
      </w:r>
      <w:r>
        <w:rPr>
          <w:w w:val="100"/>
          <w:sz w:val="24"/>
          <w:szCs w:val="24"/>
        </w:rPr>
        <w:t>of them can be located and sign, it will not be possible for us to follow this simple procedure, and the additional services then required will be subject to additional fees.</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Once this affidavit has been properly signed and sworn to, it will be filed with the clerk of the court and will be presented to the judge. If the judge is satisfied that it contains the information required by the Texas Estates Code, the judge will sign an order to the effect that the estate qualifies as a small estate and will approve the affidavit, and it will be properly recorded. Once this has been done, the clerk will be able to issue certified copies of the affidavit and order for you to furnish to banks, savings and loan associations, stock transfer agents, and other </w:t>
      </w:r>
      <w:r>
        <w:rPr>
          <w:w w:val="100"/>
          <w:sz w:val="24"/>
          <w:szCs w:val="24"/>
        </w:rPr>
        <w:lastRenderedPageBreak/>
        <w:t>persons or institutions holding property of the estate. When the certified copy is so presented, these persons or institutions will be legally authorized to transfer the assets to the distributees.</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Even though no formal administration will be necessary, it is still necessary to pay creditors. Please make and furnish us with a complete list of creditors and debts as of the date of death.</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Again, the extreme importance of accurate valuation of the nonexempt property cannot be overemphasized. If any creditor or any other interested party could ever show that this value exceeded $</w:t>
      </w:r>
      <w:r w:rsidR="00C55A72">
        <w:rPr>
          <w:w w:val="100"/>
          <w:sz w:val="24"/>
          <w:szCs w:val="24"/>
        </w:rPr>
        <w:t>75</w:t>
      </w:r>
      <w:r>
        <w:rPr>
          <w:w w:val="100"/>
          <w:sz w:val="24"/>
          <w:szCs w:val="24"/>
        </w:rPr>
        <w:t>,000, these entire proceedings could be set aside and a full administration required.</w:t>
      </w:r>
    </w:p>
    <w:p w:rsidR="00C55A72" w:rsidRPr="00C55A72" w:rsidRDefault="00C55A72" w:rsidP="00C55A72">
      <w:pPr>
        <w:pStyle w:val="para"/>
        <w:spacing w:before="0" w:after="200" w:line="240" w:lineRule="auto"/>
        <w:ind w:firstLine="620"/>
        <w:jc w:val="left"/>
        <w:rPr>
          <w:bCs/>
          <w:w w:val="100"/>
          <w:sz w:val="24"/>
          <w:szCs w:val="24"/>
        </w:rPr>
      </w:pPr>
      <w:r w:rsidRPr="00351123">
        <w:rPr>
          <w:bCs/>
          <w:w w:val="100"/>
          <w:sz w:val="24"/>
          <w:szCs w:val="24"/>
        </w:rPr>
        <w:t xml:space="preserve">An administrator’s duty of care requires property and liability insurance on real property, automobiles, and personal property of significant value. Decedent’s contracts and support obligations might require other insurance. </w:t>
      </w:r>
      <w:r w:rsidRPr="00C55A72">
        <w:rPr>
          <w:bCs/>
          <w:w w:val="100"/>
          <w:sz w:val="24"/>
          <w:szCs w:val="24"/>
        </w:rPr>
        <w:t xml:space="preserve">Construction and unusual activities may require specialized insurance. </w:t>
      </w:r>
    </w:p>
    <w:p w:rsidR="00C55A72" w:rsidRPr="00C55A72" w:rsidRDefault="00C55A72" w:rsidP="00C55A72">
      <w:pPr>
        <w:pStyle w:val="para"/>
        <w:spacing w:before="0" w:after="200" w:line="240" w:lineRule="auto"/>
        <w:ind w:firstLine="620"/>
        <w:jc w:val="left"/>
        <w:rPr>
          <w:bCs/>
          <w:w w:val="100"/>
          <w:sz w:val="24"/>
          <w:szCs w:val="24"/>
        </w:rPr>
      </w:pPr>
      <w:r w:rsidRPr="00C55A72">
        <w:rPr>
          <w:bCs/>
          <w:w w:val="100"/>
          <w:sz w:val="24"/>
          <w:szCs w:val="24"/>
        </w:rPr>
        <w:t xml:space="preserve">You will not have the authority of an administrator, but you may have the liability of one. Instead of an administration, we will use a different procedure, and you will not receive letters of administration. You may be held responsible for your management of the estate as an informal fiduciary. </w:t>
      </w:r>
    </w:p>
    <w:p w:rsidR="00C55A72" w:rsidRPr="00C55A72" w:rsidRDefault="00C55A72" w:rsidP="00C55A72">
      <w:pPr>
        <w:pStyle w:val="para"/>
        <w:spacing w:before="0" w:after="200" w:line="240" w:lineRule="auto"/>
        <w:ind w:firstLine="620"/>
        <w:jc w:val="left"/>
        <w:rPr>
          <w:bCs/>
          <w:w w:val="100"/>
          <w:sz w:val="24"/>
          <w:szCs w:val="24"/>
        </w:rPr>
      </w:pPr>
      <w:r w:rsidRPr="00C55A72">
        <w:rPr>
          <w:bCs/>
          <w:w w:val="100"/>
          <w:sz w:val="24"/>
          <w:szCs w:val="24"/>
        </w:rPr>
        <w:t>Ask Decedent’s insurance agent whether the estate’s insurance needs can be managed without appointment of an administrator and without issuance of letters to a personal representative. If insurance has lapsed or is inadequate, who can request coverage?</w:t>
      </w:r>
    </w:p>
    <w:p w:rsidR="00C55A72" w:rsidRPr="00C55A72" w:rsidRDefault="00C55A72" w:rsidP="00C55A72">
      <w:pPr>
        <w:pStyle w:val="para"/>
        <w:spacing w:before="0" w:after="200" w:line="240" w:lineRule="auto"/>
        <w:ind w:firstLine="620"/>
        <w:jc w:val="left"/>
        <w:rPr>
          <w:w w:val="100"/>
          <w:sz w:val="24"/>
          <w:szCs w:val="24"/>
        </w:rPr>
      </w:pPr>
      <w:r w:rsidRPr="00C55A72">
        <w:rPr>
          <w:w w:val="100"/>
          <w:sz w:val="24"/>
          <w:szCs w:val="24"/>
        </w:rPr>
        <w:t xml:space="preserve">If the estate’s insurance needs cannot be met without appointment of a personal representative, let us know immediately, so we can discuss whether a different probate procedure is warranted. </w:t>
      </w:r>
    </w:p>
    <w:p w:rsidR="00C55A72" w:rsidRPr="00C55A72" w:rsidRDefault="00C55A72" w:rsidP="00C55A72">
      <w:pPr>
        <w:pStyle w:val="para"/>
        <w:spacing w:before="0" w:after="200" w:line="240" w:lineRule="auto"/>
        <w:ind w:firstLine="620"/>
        <w:jc w:val="left"/>
        <w:rPr>
          <w:bCs/>
          <w:w w:val="100"/>
          <w:sz w:val="24"/>
          <w:szCs w:val="24"/>
        </w:rPr>
      </w:pPr>
      <w:r w:rsidRPr="00C55A72">
        <w:rPr>
          <w:bCs/>
          <w:w w:val="100"/>
          <w:sz w:val="24"/>
          <w:szCs w:val="24"/>
        </w:rPr>
        <w:t>We are not insurance experts, and you cannot rely on our insurance advice. These suggestions may not be appropriate or adequate in your situation, and we offer them only to help you start a conversation with your insurance agent.</w:t>
      </w:r>
    </w:p>
    <w:p w:rsidR="00C55A72" w:rsidRPr="00C55A72" w:rsidRDefault="00C55A72" w:rsidP="00C55A72">
      <w:pPr>
        <w:pStyle w:val="para"/>
        <w:spacing w:before="0" w:after="200" w:line="240" w:lineRule="auto"/>
        <w:ind w:firstLine="620"/>
        <w:jc w:val="left"/>
        <w:rPr>
          <w:w w:val="100"/>
          <w:sz w:val="24"/>
          <w:szCs w:val="24"/>
        </w:rPr>
      </w:pPr>
      <w:r w:rsidRPr="00C55A72">
        <w:rPr>
          <w:bCs/>
          <w:w w:val="100"/>
          <w:sz w:val="24"/>
          <w:szCs w:val="24"/>
        </w:rPr>
        <w:t xml:space="preserve">Unless you describe the necessary insurance with great specificity, an insurance agent is not liable for inadequate coverage. It may be wise to have an expert investigate the estate’s insurance situation and analyze coverage, cost, insurable risks, and exposures to loss. Before you sign, </w:t>
      </w:r>
      <w:r w:rsidRPr="00C55A72">
        <w:rPr>
          <w:w w:val="100"/>
          <w:sz w:val="24"/>
          <w:szCs w:val="24"/>
        </w:rPr>
        <w:t>we can review any insurance analysis contract.</w:t>
      </w:r>
    </w:p>
    <w:p w:rsidR="00125198" w:rsidRDefault="00C55A72"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Before we begin, w</w:t>
      </w:r>
      <w:r w:rsidR="00125198">
        <w:rPr>
          <w:w w:val="100"/>
          <w:sz w:val="24"/>
          <w:szCs w:val="24"/>
        </w:rPr>
        <w:t>e must deal with an important ethical matter to avoid questions of conflicts of interest. Only you will be a client of this firm for matters related to the estate. While this may appear obvious, there are many instances in which family members and other beneficiaries believe that a lawyer represents “the estate” directly and thus represents them indirectly. This is not the case. To avoid these conflicts, it is the policy of this firm to recommend that they obtain the advice and services of independent attorneys of their own choosing.</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As we go along, you will receive copies and information regarding the estate. Please provide affected family members and beneficiaries with updates on a regular basis. In doing so, please make it clear that this firm represents only you. </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We are not now aware of any conflicts that exist or any facts that would create a conflict, although that possibility always exists. If you become aware of any conflict relating to this estate or anything affecting our representation, you must call it to our attention.</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Please understand that to protect your interests in the event of my death, disability, or retirement, it may be necessary or appropriate for another lawyer or a staff member of this firm, a personal representative (including someone acting under a power of attorney), or another lawyer who is retained by any such person to have access to your file and records in order to contact you to determine appropriate handling of your matters and of your files and to make an appropriate referral (subject to your approval) to other attorneys for future handling. In that regard, you grant permission and waive all privileges solely to the extent necessary or appropriate for those purposes.</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Furthermore</w:t>
      </w:r>
      <w:r w:rsidR="00C55A72">
        <w:rPr>
          <w:w w:val="100"/>
          <w:sz w:val="24"/>
          <w:szCs w:val="24"/>
        </w:rPr>
        <w:t>,</w:t>
      </w:r>
      <w:r>
        <w:rPr>
          <w:w w:val="100"/>
          <w:sz w:val="24"/>
          <w:szCs w:val="24"/>
        </w:rPr>
        <w:t xml:space="preserve"> in the event of my death, disability, or retirement, if further services are required in connection with this representation and you engage another lawyer to perform those services, you expressly authorize the division of fees based on the proportion of the work done or responsibilities assumed by this firm and by your new attorney. Such division specifically authorizes the payment of fees and expenses to my estate, personal representatives, and heirs. </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With respect to documents provided by you as well as original documents generated in connection with this representation, those that are not filed with the court will be returned to you. This firm is entitled to retain copies of all such documents as well as all other materials used in connection with the representation. All other documents, including notes and the remaining contents of your file, are attorney work product and are owned by the firm. Of course, during our representation of you and for as long thereafter as we retain any of such items, we will make your files available to you for inspection and copying.</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Please note that we may destroy any of your files at any time with your written consent and, in any event, after one year following written notice to you sent by regular mail to your last known address as reflected in our records. No further notice to you will be required before such destruction. </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Enclosed is a copy of the Texas Lawyer</w:t>
      </w:r>
      <w:r w:rsidR="00C55A72">
        <w:rPr>
          <w:w w:val="100"/>
          <w:sz w:val="24"/>
          <w:szCs w:val="24"/>
        </w:rPr>
        <w:t>’</w:t>
      </w:r>
      <w:r>
        <w:rPr>
          <w:w w:val="100"/>
          <w:sz w:val="24"/>
          <w:szCs w:val="24"/>
        </w:rPr>
        <w:t>s Creed. This mandate for professionalism was promulgated by the Supreme Court of Texas and the Texas Court of Criminal Appeals in 1989. All lawyers and members of our staff do our best to adhere to the high standards it sets for the lawyers of Texas. We invite your questions and comments regarding that creed and your perception of our adherence to its objectives.</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We all take seriously our obligation to maintain the highest standards of ethical conduct toward our clients and others. To enforce ethical conduct, the State Bar of Texas investigates and prosecutes complaints of professional misconduct. If you have questions about this process or how to file a complaint, you should contact the office of the State Bar of Texas at 1-800-932-1900 to</w:t>
      </w:r>
      <w:r w:rsidR="00C55A72">
        <w:rPr>
          <w:w w:val="100"/>
          <w:sz w:val="24"/>
          <w:szCs w:val="24"/>
        </w:rPr>
        <w:t>ll-</w:t>
      </w:r>
      <w:r>
        <w:rPr>
          <w:w w:val="100"/>
          <w:sz w:val="24"/>
          <w:szCs w:val="24"/>
        </w:rPr>
        <w:t>free for more information.</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If the foregoing letter correctly reflects your understanding of our agreement, please sign both copies of this letter, retain one for your files, and return one copy in the enclosed envelope. If you have any questions about the proposed engagement, please contact me as soon as possible. Certainly, you should feel free to consult with another lawyer about the effect of signing this letter. </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As soon as the affidavit has been prepared, I will contact you to make arrangements for proper signatures. Thank you again for the confidence that you have expressed in me and this firm at this very difficult time. Please call me if you have any questions. Kindest regards.</w:t>
      </w:r>
    </w:p>
    <w:p w:rsidR="00125198" w:rsidRDefault="00125198" w:rsidP="005F6C6F">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Yours very truly,</w:t>
      </w:r>
    </w:p>
    <w:p w:rsidR="00125198" w:rsidRDefault="00125198" w:rsidP="005F6C6F">
      <w:pPr>
        <w:pStyle w:val="para"/>
        <w:widowControl/>
        <w:tabs>
          <w:tab w:val="left" w:leader="underscore" w:pos="8160"/>
        </w:tabs>
        <w:suppressAutoHyphens/>
        <w:spacing w:before="240" w:after="480" w:line="240" w:lineRule="auto"/>
        <w:ind w:left="4320"/>
        <w:jc w:val="left"/>
        <w:rPr>
          <w:w w:val="100"/>
          <w:sz w:val="24"/>
          <w:szCs w:val="24"/>
        </w:rPr>
      </w:pPr>
      <w:r>
        <w:rPr>
          <w:w w:val="100"/>
          <w:sz w:val="24"/>
          <w:szCs w:val="24"/>
        </w:rPr>
        <w:t>[</w:t>
      </w:r>
      <w:r>
        <w:rPr>
          <w:rFonts w:ascii="Arial" w:hAnsi="Arial" w:cs="Arial"/>
          <w:b/>
          <w:bCs/>
          <w:w w:val="100"/>
        </w:rPr>
        <w:t>Attorney’s name</w:t>
      </w:r>
      <w:r>
        <w:rPr>
          <w:w w:val="100"/>
          <w:sz w:val="24"/>
          <w:szCs w:val="24"/>
        </w:rPr>
        <w:t>]</w:t>
      </w:r>
    </w:p>
    <w:p w:rsidR="00125198" w:rsidRDefault="00125198" w:rsidP="005F6C6F">
      <w:pPr>
        <w:pStyle w:val="para"/>
        <w:widowControl/>
        <w:tabs>
          <w:tab w:val="right" w:leader="underscore" w:pos="9000"/>
        </w:tabs>
        <w:spacing w:before="0" w:after="0" w:line="240" w:lineRule="auto"/>
        <w:ind w:left="380" w:hanging="380"/>
        <w:jc w:val="left"/>
        <w:rPr>
          <w:w w:val="100"/>
          <w:sz w:val="24"/>
          <w:szCs w:val="24"/>
        </w:rPr>
      </w:pPr>
      <w:r>
        <w:rPr>
          <w:w w:val="100"/>
          <w:sz w:val="24"/>
          <w:szCs w:val="24"/>
        </w:rPr>
        <w:t>Enclosures</w:t>
      </w:r>
      <w:r>
        <w:rPr>
          <w:w w:val="100"/>
          <w:sz w:val="24"/>
          <w:szCs w:val="24"/>
        </w:rPr>
        <w:br/>
        <w:t>Texas Lawyer</w:t>
      </w:r>
      <w:r w:rsidR="00C55A72">
        <w:rPr>
          <w:w w:val="100"/>
          <w:sz w:val="24"/>
          <w:szCs w:val="24"/>
        </w:rPr>
        <w:t>’</w:t>
      </w:r>
      <w:r>
        <w:rPr>
          <w:w w:val="100"/>
          <w:sz w:val="24"/>
          <w:szCs w:val="24"/>
        </w:rPr>
        <w:t>s Creed</w:t>
      </w:r>
    </w:p>
    <w:p w:rsidR="00125198" w:rsidRDefault="00125198" w:rsidP="005F6C6F">
      <w:pPr>
        <w:pStyle w:val="para"/>
        <w:tabs>
          <w:tab w:val="right" w:leader="underscore" w:pos="9000"/>
        </w:tabs>
        <w:spacing w:before="0" w:after="400" w:line="240" w:lineRule="auto"/>
        <w:ind w:left="380"/>
        <w:rPr>
          <w:w w:val="100"/>
          <w:sz w:val="24"/>
          <w:szCs w:val="24"/>
        </w:rPr>
      </w:pPr>
      <w:r>
        <w:rPr>
          <w:w w:val="100"/>
          <w:sz w:val="24"/>
          <w:szCs w:val="24"/>
        </w:rPr>
        <w:t>Return envelope</w:t>
      </w:r>
    </w:p>
    <w:p w:rsidR="00125198" w:rsidRDefault="00125198" w:rsidP="005F6C6F">
      <w:pPr>
        <w:pStyle w:val="para"/>
        <w:widowControl/>
        <w:tabs>
          <w:tab w:val="right" w:leader="underscore" w:pos="9000"/>
        </w:tabs>
        <w:spacing w:before="0" w:after="200" w:line="240" w:lineRule="auto"/>
        <w:ind w:firstLine="620"/>
        <w:jc w:val="left"/>
        <w:rPr>
          <w:w w:val="100"/>
          <w:sz w:val="24"/>
          <w:szCs w:val="24"/>
        </w:rPr>
      </w:pPr>
      <w:r>
        <w:rPr>
          <w:w w:val="100"/>
          <w:sz w:val="24"/>
          <w:szCs w:val="24"/>
        </w:rPr>
        <w:t>The foregoing letter correctly reflects my understanding of our agreement. Dated                              ___________________________.</w:t>
      </w:r>
    </w:p>
    <w:p w:rsidR="00125198" w:rsidRDefault="00125198" w:rsidP="005F6C6F">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sidR="00A8596A" w:rsidRPr="00A8596A">
        <w:rPr>
          <w:bCs/>
          <w:w w:val="100"/>
          <w:sz w:val="24"/>
        </w:rPr>
        <w:t>[</w:t>
      </w:r>
      <w:r>
        <w:rPr>
          <w:rFonts w:ascii="Arial" w:hAnsi="Arial" w:cs="Arial"/>
          <w:b/>
          <w:bCs/>
          <w:w w:val="100"/>
        </w:rPr>
        <w:t>2.116</w:t>
      </w:r>
      <w:r w:rsidR="00A8596A" w:rsidRPr="00A8596A">
        <w:rPr>
          <w:bCs/>
          <w:w w:val="100"/>
          <w:sz w:val="24"/>
        </w:rPr>
        <w:t>]</w:t>
      </w:r>
    </w:p>
    <w:p w:rsidR="00D21C84" w:rsidRDefault="00D21C84" w:rsidP="005F6C6F"/>
    <w:sectPr w:rsidR="00D21C84" w:rsidSect="0012519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6C66" w:rsidRDefault="00FF6C66">
      <w:r>
        <w:separator/>
      </w:r>
    </w:p>
  </w:endnote>
  <w:endnote w:type="continuationSeparator" w:id="0">
    <w:p w:rsidR="00FF6C66" w:rsidRDefault="00FF6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6C66" w:rsidRDefault="00FF6C66">
      <w:r>
        <w:separator/>
      </w:r>
    </w:p>
  </w:footnote>
  <w:footnote w:type="continuationSeparator" w:id="0">
    <w:p w:rsidR="00FF6C66" w:rsidRDefault="00FF6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522421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EF2885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C0C87E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D86AD1A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B40B70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75C78B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21407346">
    <w:abstractNumId w:val="8"/>
  </w:num>
  <w:num w:numId="2" w16cid:durableId="1029065089">
    <w:abstractNumId w:val="8"/>
  </w:num>
  <w:num w:numId="3" w16cid:durableId="1428426090">
    <w:abstractNumId w:val="3"/>
  </w:num>
  <w:num w:numId="4" w16cid:durableId="112091228">
    <w:abstractNumId w:val="3"/>
  </w:num>
  <w:num w:numId="5" w16cid:durableId="603347382">
    <w:abstractNumId w:val="9"/>
  </w:num>
  <w:num w:numId="6" w16cid:durableId="1955943648">
    <w:abstractNumId w:val="9"/>
  </w:num>
  <w:num w:numId="7" w16cid:durableId="1424641827">
    <w:abstractNumId w:val="7"/>
  </w:num>
  <w:num w:numId="8" w16cid:durableId="363793578">
    <w:abstractNumId w:val="7"/>
  </w:num>
  <w:num w:numId="9" w16cid:durableId="708803215">
    <w:abstractNumId w:val="13"/>
  </w:num>
  <w:num w:numId="10" w16cid:durableId="923683010">
    <w:abstractNumId w:val="15"/>
  </w:num>
  <w:num w:numId="11" w16cid:durableId="989797056">
    <w:abstractNumId w:val="8"/>
  </w:num>
  <w:num w:numId="12" w16cid:durableId="1203328521">
    <w:abstractNumId w:val="3"/>
  </w:num>
  <w:num w:numId="13" w16cid:durableId="1521623772">
    <w:abstractNumId w:val="9"/>
  </w:num>
  <w:num w:numId="14" w16cid:durableId="456066194">
    <w:abstractNumId w:val="7"/>
  </w:num>
  <w:num w:numId="15" w16cid:durableId="624582691">
    <w:abstractNumId w:val="6"/>
  </w:num>
  <w:num w:numId="16" w16cid:durableId="409886407">
    <w:abstractNumId w:val="5"/>
  </w:num>
  <w:num w:numId="17" w16cid:durableId="1778208796">
    <w:abstractNumId w:val="4"/>
  </w:num>
  <w:num w:numId="18" w16cid:durableId="1102532790">
    <w:abstractNumId w:val="2"/>
  </w:num>
  <w:num w:numId="19" w16cid:durableId="1237280093">
    <w:abstractNumId w:val="1"/>
  </w:num>
  <w:num w:numId="20" w16cid:durableId="1928034577">
    <w:abstractNumId w:val="0"/>
  </w:num>
  <w:num w:numId="21" w16cid:durableId="1080447044">
    <w:abstractNumId w:val="11"/>
  </w:num>
  <w:num w:numId="22" w16cid:durableId="1968385974">
    <w:abstractNumId w:val="12"/>
  </w:num>
  <w:num w:numId="23" w16cid:durableId="1209685895">
    <w:abstractNumId w:val="14"/>
  </w:num>
  <w:num w:numId="24" w16cid:durableId="1303386255">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360862850">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87.docx"/>
    <w:docVar w:name="TBBStampDate" w:val="05-14-2026"/>
    <w:docVar w:name="TBBVer" w:val="docx"/>
    <w:docVar w:name="TBBYear" w:val="2026"/>
  </w:docVars>
  <w:rsids>
    <w:rsidRoot w:val="00125198"/>
    <w:rsid w:val="00006704"/>
    <w:rsid w:val="00035105"/>
    <w:rsid w:val="0004285B"/>
    <w:rsid w:val="00055419"/>
    <w:rsid w:val="00075517"/>
    <w:rsid w:val="000A5288"/>
    <w:rsid w:val="000A6DC7"/>
    <w:rsid w:val="000B0F31"/>
    <w:rsid w:val="000B259E"/>
    <w:rsid w:val="000D0833"/>
    <w:rsid w:val="000D5936"/>
    <w:rsid w:val="00103258"/>
    <w:rsid w:val="00120B30"/>
    <w:rsid w:val="00124EC7"/>
    <w:rsid w:val="00125198"/>
    <w:rsid w:val="001357DF"/>
    <w:rsid w:val="00167635"/>
    <w:rsid w:val="001B4977"/>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05E7"/>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154B"/>
    <w:rsid w:val="00574113"/>
    <w:rsid w:val="00582F0A"/>
    <w:rsid w:val="005906DA"/>
    <w:rsid w:val="005967D5"/>
    <w:rsid w:val="005B3021"/>
    <w:rsid w:val="005B4AE9"/>
    <w:rsid w:val="005B683D"/>
    <w:rsid w:val="005C4081"/>
    <w:rsid w:val="005F6C6F"/>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2F61"/>
    <w:rsid w:val="00746473"/>
    <w:rsid w:val="00763BF6"/>
    <w:rsid w:val="00767ED8"/>
    <w:rsid w:val="00795CB0"/>
    <w:rsid w:val="007A39D0"/>
    <w:rsid w:val="007B3F3B"/>
    <w:rsid w:val="007D0DE2"/>
    <w:rsid w:val="007D2BDA"/>
    <w:rsid w:val="007D3F21"/>
    <w:rsid w:val="007D5BE5"/>
    <w:rsid w:val="007E0A3B"/>
    <w:rsid w:val="007E2112"/>
    <w:rsid w:val="007E4CC2"/>
    <w:rsid w:val="007E75A2"/>
    <w:rsid w:val="007E766B"/>
    <w:rsid w:val="007F111E"/>
    <w:rsid w:val="007F463F"/>
    <w:rsid w:val="00813EC4"/>
    <w:rsid w:val="00820566"/>
    <w:rsid w:val="008222BD"/>
    <w:rsid w:val="00832078"/>
    <w:rsid w:val="008575EE"/>
    <w:rsid w:val="00877F53"/>
    <w:rsid w:val="008B3F1F"/>
    <w:rsid w:val="008D3F7D"/>
    <w:rsid w:val="008D602D"/>
    <w:rsid w:val="008F41A5"/>
    <w:rsid w:val="00903348"/>
    <w:rsid w:val="00905564"/>
    <w:rsid w:val="009109A7"/>
    <w:rsid w:val="00937698"/>
    <w:rsid w:val="009518AF"/>
    <w:rsid w:val="00965A52"/>
    <w:rsid w:val="00986BE4"/>
    <w:rsid w:val="009A2FE8"/>
    <w:rsid w:val="009A7C45"/>
    <w:rsid w:val="009C6567"/>
    <w:rsid w:val="009D367E"/>
    <w:rsid w:val="009E048A"/>
    <w:rsid w:val="009F1B69"/>
    <w:rsid w:val="00A026BD"/>
    <w:rsid w:val="00A0583D"/>
    <w:rsid w:val="00A156B5"/>
    <w:rsid w:val="00A17A2F"/>
    <w:rsid w:val="00A34BDC"/>
    <w:rsid w:val="00A8596A"/>
    <w:rsid w:val="00AA74A2"/>
    <w:rsid w:val="00AB3BCD"/>
    <w:rsid w:val="00AE05F0"/>
    <w:rsid w:val="00AE61F5"/>
    <w:rsid w:val="00B12519"/>
    <w:rsid w:val="00B157A8"/>
    <w:rsid w:val="00B15C0D"/>
    <w:rsid w:val="00B17021"/>
    <w:rsid w:val="00B53927"/>
    <w:rsid w:val="00BA13C4"/>
    <w:rsid w:val="00BE2E17"/>
    <w:rsid w:val="00C04F3D"/>
    <w:rsid w:val="00C1069F"/>
    <w:rsid w:val="00C16AEA"/>
    <w:rsid w:val="00C34BD6"/>
    <w:rsid w:val="00C445FE"/>
    <w:rsid w:val="00C53FF7"/>
    <w:rsid w:val="00C55A72"/>
    <w:rsid w:val="00CA5BD5"/>
    <w:rsid w:val="00CA64F6"/>
    <w:rsid w:val="00CB155D"/>
    <w:rsid w:val="00CC5C2E"/>
    <w:rsid w:val="00CD150A"/>
    <w:rsid w:val="00CF7073"/>
    <w:rsid w:val="00D20886"/>
    <w:rsid w:val="00D21C84"/>
    <w:rsid w:val="00D25F76"/>
    <w:rsid w:val="00D2766B"/>
    <w:rsid w:val="00D35A20"/>
    <w:rsid w:val="00D47494"/>
    <w:rsid w:val="00D562D6"/>
    <w:rsid w:val="00D93A2E"/>
    <w:rsid w:val="00D94635"/>
    <w:rsid w:val="00D957EF"/>
    <w:rsid w:val="00D96D86"/>
    <w:rsid w:val="00DA05D8"/>
    <w:rsid w:val="00DB22E2"/>
    <w:rsid w:val="00DB2687"/>
    <w:rsid w:val="00DB48F2"/>
    <w:rsid w:val="00DC4601"/>
    <w:rsid w:val="00DE62F6"/>
    <w:rsid w:val="00DF64BF"/>
    <w:rsid w:val="00E17361"/>
    <w:rsid w:val="00E7012A"/>
    <w:rsid w:val="00E8508F"/>
    <w:rsid w:val="00E90259"/>
    <w:rsid w:val="00E95688"/>
    <w:rsid w:val="00EB6F6B"/>
    <w:rsid w:val="00EF0713"/>
    <w:rsid w:val="00EF3BC1"/>
    <w:rsid w:val="00F1261B"/>
    <w:rsid w:val="00F22B3D"/>
    <w:rsid w:val="00F6777D"/>
    <w:rsid w:val="00F7064A"/>
    <w:rsid w:val="00F72310"/>
    <w:rsid w:val="00F75F04"/>
    <w:rsid w:val="00F87CCC"/>
    <w:rsid w:val="00F94ACB"/>
    <w:rsid w:val="00FA26E8"/>
    <w:rsid w:val="00FC674E"/>
    <w:rsid w:val="00FD58F3"/>
    <w:rsid w:val="00FD5B0C"/>
    <w:rsid w:val="00FF43B6"/>
    <w:rsid w:val="00FF6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B5C8311-A555-4FF9-8682-20009566F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25198"/>
    <w:rPr>
      <w:sz w:val="24"/>
      <w:szCs w:val="24"/>
    </w:rPr>
  </w:style>
  <w:style w:type="paragraph" w:styleId="Heading1">
    <w:name w:val="heading 1"/>
    <w:basedOn w:val="Normal"/>
    <w:next w:val="Normal"/>
    <w:uiPriority w:val="1"/>
    <w:qFormat/>
    <w:rsid w:val="00125198"/>
    <w:pPr>
      <w:keepNext/>
      <w:spacing w:before="240" w:after="60"/>
      <w:outlineLvl w:val="0"/>
    </w:pPr>
    <w:rPr>
      <w:b/>
      <w:bCs/>
      <w:kern w:val="32"/>
      <w:szCs w:val="32"/>
    </w:rPr>
  </w:style>
  <w:style w:type="paragraph" w:styleId="Heading2">
    <w:name w:val="heading 2"/>
    <w:basedOn w:val="Normal"/>
    <w:next w:val="Normal"/>
    <w:uiPriority w:val="1"/>
    <w:qFormat/>
    <w:rsid w:val="00125198"/>
    <w:pPr>
      <w:keepNext/>
      <w:spacing w:before="240" w:after="60"/>
      <w:outlineLvl w:val="1"/>
    </w:pPr>
    <w:rPr>
      <w:b/>
      <w:bCs/>
      <w:iCs/>
      <w:szCs w:val="28"/>
    </w:rPr>
  </w:style>
  <w:style w:type="paragraph" w:styleId="Heading3">
    <w:name w:val="heading 3"/>
    <w:basedOn w:val="Normal"/>
    <w:next w:val="Normal"/>
    <w:uiPriority w:val="1"/>
    <w:qFormat/>
    <w:rsid w:val="00125198"/>
    <w:pPr>
      <w:spacing w:before="240" w:after="60"/>
      <w:outlineLvl w:val="2"/>
    </w:pPr>
    <w:rPr>
      <w:b/>
      <w:bCs/>
      <w:szCs w:val="26"/>
    </w:rPr>
  </w:style>
  <w:style w:type="paragraph" w:styleId="Heading4">
    <w:name w:val="heading 4"/>
    <w:basedOn w:val="Normal"/>
    <w:next w:val="Normal"/>
    <w:uiPriority w:val="1"/>
    <w:qFormat/>
    <w:rsid w:val="00125198"/>
    <w:pPr>
      <w:spacing w:before="240" w:after="60"/>
      <w:outlineLvl w:val="3"/>
    </w:pPr>
    <w:rPr>
      <w:b/>
      <w:bCs/>
      <w:szCs w:val="28"/>
    </w:rPr>
  </w:style>
  <w:style w:type="paragraph" w:styleId="Heading5">
    <w:name w:val="heading 5"/>
    <w:basedOn w:val="Normal"/>
    <w:next w:val="Normal"/>
    <w:uiPriority w:val="1"/>
    <w:qFormat/>
    <w:rsid w:val="00125198"/>
    <w:pPr>
      <w:spacing w:before="240" w:after="60"/>
      <w:outlineLvl w:val="4"/>
    </w:pPr>
    <w:rPr>
      <w:b/>
      <w:bCs/>
      <w:iCs/>
      <w:szCs w:val="26"/>
    </w:rPr>
  </w:style>
  <w:style w:type="paragraph" w:styleId="Heading6">
    <w:name w:val="heading 6"/>
    <w:basedOn w:val="Normal"/>
    <w:next w:val="Normal"/>
    <w:uiPriority w:val="1"/>
    <w:qFormat/>
    <w:rsid w:val="00125198"/>
    <w:pPr>
      <w:spacing w:before="240" w:after="60"/>
      <w:outlineLvl w:val="5"/>
    </w:pPr>
    <w:rPr>
      <w:b/>
      <w:bCs/>
      <w:szCs w:val="22"/>
    </w:rPr>
  </w:style>
  <w:style w:type="paragraph" w:styleId="Heading7">
    <w:name w:val="heading 7"/>
    <w:basedOn w:val="Normal"/>
    <w:next w:val="Normal"/>
    <w:uiPriority w:val="1"/>
    <w:qFormat/>
    <w:rsid w:val="00125198"/>
    <w:pPr>
      <w:spacing w:before="240" w:after="60"/>
      <w:outlineLvl w:val="6"/>
    </w:pPr>
    <w:rPr>
      <w:b/>
    </w:rPr>
  </w:style>
  <w:style w:type="paragraph" w:styleId="Heading8">
    <w:name w:val="heading 8"/>
    <w:basedOn w:val="Normal"/>
    <w:next w:val="Normal"/>
    <w:uiPriority w:val="1"/>
    <w:qFormat/>
    <w:rsid w:val="00125198"/>
    <w:pPr>
      <w:spacing w:before="240" w:after="60"/>
      <w:outlineLvl w:val="7"/>
    </w:pPr>
    <w:rPr>
      <w:b/>
      <w:iCs/>
    </w:rPr>
  </w:style>
  <w:style w:type="paragraph" w:styleId="Heading9">
    <w:name w:val="heading 9"/>
    <w:basedOn w:val="Normal"/>
    <w:next w:val="Normal"/>
    <w:uiPriority w:val="2"/>
    <w:qFormat/>
    <w:rsid w:val="0012519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25198"/>
    <w:pPr>
      <w:spacing w:after="240"/>
    </w:pPr>
    <w:rPr>
      <w:szCs w:val="20"/>
    </w:rPr>
  </w:style>
  <w:style w:type="paragraph" w:styleId="Quote">
    <w:name w:val="Quote"/>
    <w:basedOn w:val="BodyText"/>
    <w:uiPriority w:val="2"/>
    <w:qFormat/>
    <w:rsid w:val="00125198"/>
    <w:pPr>
      <w:ind w:left="1440" w:right="1440"/>
    </w:pPr>
  </w:style>
  <w:style w:type="paragraph" w:customStyle="1" w:styleId="BodyTextContinued">
    <w:name w:val="Body Text Continued"/>
    <w:basedOn w:val="BodyText"/>
    <w:next w:val="BodyText"/>
    <w:rsid w:val="00125198"/>
  </w:style>
  <w:style w:type="paragraph" w:styleId="TOC1">
    <w:name w:val="toc 1"/>
    <w:basedOn w:val="Normal"/>
    <w:next w:val="Normal"/>
    <w:autoRedefine/>
    <w:uiPriority w:val="2"/>
    <w:rsid w:val="0012519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2519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2519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2519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2519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2519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2519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2519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2519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25198"/>
    <w:pPr>
      <w:numPr>
        <w:numId w:val="9"/>
      </w:numPr>
    </w:pPr>
  </w:style>
  <w:style w:type="paragraph" w:styleId="ListNumber2">
    <w:name w:val="List Number 2"/>
    <w:basedOn w:val="BodyText"/>
    <w:uiPriority w:val="1"/>
    <w:rsid w:val="00125198"/>
    <w:pPr>
      <w:numPr>
        <w:numId w:val="10"/>
      </w:numPr>
    </w:pPr>
  </w:style>
  <w:style w:type="paragraph" w:styleId="ListBullet">
    <w:name w:val="List Bullet"/>
    <w:basedOn w:val="BodyText"/>
    <w:uiPriority w:val="1"/>
    <w:rsid w:val="00125198"/>
    <w:pPr>
      <w:numPr>
        <w:numId w:val="5"/>
      </w:numPr>
      <w:tabs>
        <w:tab w:val="left" w:pos="1440"/>
      </w:tabs>
    </w:pPr>
    <w:rPr>
      <w:szCs w:val="24"/>
    </w:rPr>
  </w:style>
  <w:style w:type="paragraph" w:styleId="ListBullet2">
    <w:name w:val="List Bullet 2"/>
    <w:basedOn w:val="BodyText"/>
    <w:uiPriority w:val="1"/>
    <w:rsid w:val="00125198"/>
    <w:pPr>
      <w:numPr>
        <w:numId w:val="7"/>
      </w:numPr>
      <w:tabs>
        <w:tab w:val="clear" w:pos="1440"/>
        <w:tab w:val="left" w:pos="720"/>
      </w:tabs>
      <w:ind w:left="720"/>
    </w:pPr>
    <w:rPr>
      <w:szCs w:val="24"/>
    </w:rPr>
  </w:style>
  <w:style w:type="paragraph" w:styleId="Header">
    <w:name w:val="header"/>
    <w:basedOn w:val="Normal"/>
    <w:uiPriority w:val="1"/>
    <w:rsid w:val="00125198"/>
    <w:pPr>
      <w:tabs>
        <w:tab w:val="center" w:pos="4680"/>
        <w:tab w:val="right" w:pos="9360"/>
      </w:tabs>
    </w:pPr>
  </w:style>
  <w:style w:type="paragraph" w:styleId="Footer">
    <w:name w:val="footer"/>
    <w:basedOn w:val="Normal"/>
    <w:rsid w:val="00125198"/>
    <w:pPr>
      <w:tabs>
        <w:tab w:val="center" w:pos="4680"/>
        <w:tab w:val="right" w:pos="9360"/>
      </w:tabs>
    </w:pPr>
  </w:style>
  <w:style w:type="table" w:styleId="TableGrid">
    <w:name w:val="Table Grid"/>
    <w:basedOn w:val="TableNormal"/>
    <w:rsid w:val="00125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2519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25198"/>
    <w:rPr>
      <w:rFonts w:ascii="Times New Roman Bold" w:hAnsi="Times New Roman Bold" w:cs="Arial"/>
      <w:b/>
      <w:vanish/>
      <w:color w:val="FF0000"/>
    </w:rPr>
  </w:style>
  <w:style w:type="paragraph" w:customStyle="1" w:styleId="Formhidden">
    <w:name w:val="Form_hidden"/>
    <w:rsid w:val="0012519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2519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25198"/>
    <w:rPr>
      <w:sz w:val="20"/>
      <w:szCs w:val="20"/>
    </w:rPr>
  </w:style>
  <w:style w:type="paragraph" w:customStyle="1" w:styleId="Titlehidden">
    <w:name w:val="Title_hidden"/>
    <w:uiPriority w:val="99"/>
    <w:qFormat/>
    <w:rsid w:val="00125198"/>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2519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2519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2519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2519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2519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25198"/>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12519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25198"/>
    <w:rPr>
      <w:rFonts w:ascii="Arial" w:hAnsi="Arial"/>
      <w:i/>
      <w:vanish/>
      <w:color w:val="FF0000"/>
      <w:szCs w:val="24"/>
    </w:rPr>
  </w:style>
  <w:style w:type="paragraph" w:customStyle="1" w:styleId="MnLevel4hidden">
    <w:name w:val="MnLevel4_hidden"/>
    <w:uiPriority w:val="2"/>
    <w:rsid w:val="0012519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25198"/>
    <w:pPr>
      <w:spacing w:after="240"/>
      <w:ind w:right="5760"/>
    </w:pPr>
    <w:rPr>
      <w:rFonts w:ascii="Arial" w:hAnsi="Arial" w:cs="Arial"/>
      <w:i/>
      <w:vanish/>
      <w:color w:val="FF0000"/>
    </w:rPr>
  </w:style>
  <w:style w:type="paragraph" w:customStyle="1" w:styleId="MnListnhidden">
    <w:name w:val="MnList_n_hidden"/>
    <w:uiPriority w:val="2"/>
    <w:rsid w:val="0012519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2519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2519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2519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2519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2519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2519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2519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2519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2519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2519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2519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2519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2519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2519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2519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25198"/>
    <w:rPr>
      <w:vanish/>
      <w:sz w:val="4"/>
      <w:szCs w:val="24"/>
    </w:rPr>
  </w:style>
  <w:style w:type="paragraph" w:customStyle="1" w:styleId="clausetitlehidden">
    <w:name w:val="clause_title_hidden"/>
    <w:basedOn w:val="Normal"/>
    <w:uiPriority w:val="2"/>
    <w:qFormat/>
    <w:rsid w:val="00125198"/>
    <w:pPr>
      <w:spacing w:after="240"/>
      <w:ind w:left="720" w:hanging="720"/>
    </w:pPr>
    <w:rPr>
      <w:i/>
      <w:vanish/>
      <w:color w:val="FF0000"/>
    </w:rPr>
  </w:style>
  <w:style w:type="paragraph" w:customStyle="1" w:styleId="clausenumberhidden">
    <w:name w:val="clause_number_hidden"/>
    <w:basedOn w:val="Normal"/>
    <w:uiPriority w:val="2"/>
    <w:qFormat/>
    <w:rsid w:val="00125198"/>
    <w:pPr>
      <w:spacing w:after="240"/>
    </w:pPr>
    <w:rPr>
      <w:rFonts w:ascii="Arial" w:hAnsi="Arial"/>
      <w:b/>
      <w:i/>
      <w:vanish/>
      <w:color w:val="FF0000"/>
      <w:sz w:val="20"/>
    </w:rPr>
  </w:style>
  <w:style w:type="paragraph" w:customStyle="1" w:styleId="TitleBeforeSubhidden">
    <w:name w:val="TitleBeforeSub_hidden"/>
    <w:uiPriority w:val="2"/>
    <w:qFormat/>
    <w:rsid w:val="0012519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25198"/>
  </w:style>
  <w:style w:type="paragraph" w:customStyle="1" w:styleId="TitleBeforeSub">
    <w:name w:val="TitleBeforeSub"/>
    <w:uiPriority w:val="2"/>
    <w:qFormat/>
    <w:rsid w:val="00125198"/>
    <w:pPr>
      <w:keepNext/>
      <w:widowControl w:val="0"/>
      <w:suppressAutoHyphens/>
      <w:spacing w:line="340" w:lineRule="atLeast"/>
      <w:jc w:val="center"/>
    </w:pPr>
    <w:rPr>
      <w:b/>
      <w:sz w:val="28"/>
      <w:szCs w:val="24"/>
    </w:rPr>
  </w:style>
  <w:style w:type="paragraph" w:customStyle="1" w:styleId="para">
    <w:name w:val="para"/>
    <w:uiPriority w:val="99"/>
    <w:rsid w:val="00125198"/>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125198"/>
    <w:pPr>
      <w:tabs>
        <w:tab w:val="right" w:leader="underscore" w:pos="9000"/>
      </w:tabs>
      <w:autoSpaceDE w:val="0"/>
      <w:autoSpaceDN w:val="0"/>
      <w:adjustRightInd w:val="0"/>
      <w:ind w:firstLine="620"/>
    </w:pPr>
    <w:rPr>
      <w:color w:val="000000"/>
      <w:w w:val="0"/>
      <w:sz w:val="4"/>
      <w:szCs w:val="4"/>
    </w:rPr>
  </w:style>
  <w:style w:type="character" w:customStyle="1" w:styleId="italic">
    <w:name w:val="italic"/>
    <w:uiPriority w:val="99"/>
    <w:rsid w:val="00125198"/>
    <w:rPr>
      <w:i/>
      <w:iCs/>
      <w:color w:val="000000"/>
      <w:w w:val="100"/>
      <w:lang w:val="en-US"/>
    </w:rPr>
  </w:style>
  <w:style w:type="character" w:customStyle="1" w:styleId="substitute">
    <w:name w:val="substitute"/>
    <w:uiPriority w:val="99"/>
    <w:rsid w:val="00125198"/>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77A06049-D5AC-4276-9A97-43B833A7EE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CE7FCC-475D-4323-99E9-488066EDE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B7BC1F-D88F-4EF2-B548-3A69084F64E0}">
  <ds:schemaRefs>
    <ds:schemaRef ds:uri="http://schemas.microsoft.com/sharepoint/v3/contenttype/forms"/>
  </ds:schemaRefs>
</ds:datastoreItem>
</file>

<file path=customXml/itemProps4.xml><?xml version="1.0" encoding="utf-8"?>
<ds:datastoreItem xmlns:ds="http://schemas.openxmlformats.org/officeDocument/2006/customXml" ds:itemID="{95492C7C-574D-4DA1-ADB8-6DD8B68AEEC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1408</Words>
  <Characters>8027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5</cp:revision>
  <cp:lastPrinted>2014-03-21T14:25:00Z</cp:lastPrinted>
  <dcterms:created xsi:type="dcterms:W3CDTF">2021-12-10T16:19:00Z</dcterms:created>
  <dcterms:modified xsi:type="dcterms:W3CDTF">2026-05-14T15:22:00Z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27310400.0000000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