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4FF95" w14:textId="77777777" w:rsidR="00FF6C23" w:rsidRPr="00FF6C23" w:rsidRDefault="00FF6C23" w:rsidP="0045333B">
      <w:pPr>
        <w:pStyle w:val="Titlehidden"/>
        <w:rPr>
          <w:sz w:val="18"/>
        </w:rPr>
      </w:pPr>
      <w:r w:rsidRPr="00FF6C23">
        <w:rPr>
          <w:rFonts w:ascii="Times New Roman" w:hAnsi="Times New Roman"/>
          <w:sz w:val="18"/>
        </w:rPr>
        <w:br/>
      </w:r>
      <w:r w:rsidR="00D23CF9">
        <w:rPr>
          <w:rFonts w:ascii="Times New Roman" w:hAnsi="Times New Roman"/>
          <w:sz w:val="24"/>
        </w:rPr>
        <w:t>Letter 114</w:t>
      </w:r>
      <w:r w:rsidRPr="00FF6C23">
        <w:rPr>
          <w:rFonts w:ascii="Times New Roman" w:hAnsi="Times New Roman"/>
          <w:sz w:val="24"/>
        </w:rPr>
        <w:t>—</w:t>
      </w:r>
      <w:r w:rsidR="00D23CF9">
        <w:rPr>
          <w:rFonts w:ascii="Times New Roman" w:hAnsi="Times New Roman"/>
          <w:sz w:val="24"/>
        </w:rPr>
        <w:t>Confirm Representation and Fee and Outline Anticipated Services (AP—Independent)</w:t>
      </w:r>
      <w:r>
        <w:rPr>
          <w:rFonts w:ascii="Times New Roman" w:hAnsi="Times New Roman"/>
          <w:sz w:val="24"/>
        </w:rPr>
        <w:br/>
      </w:r>
    </w:p>
    <w:p w14:paraId="1D24FF96" w14:textId="77777777" w:rsidR="00FF6C23" w:rsidRPr="00D23CF9" w:rsidRDefault="00D23CF9" w:rsidP="008826B2">
      <w:pPr>
        <w:pStyle w:val="UserInstructionjustifyhidden"/>
      </w:pPr>
      <w:r w:rsidRPr="00D23CF9">
        <w:rPr>
          <w:rStyle w:val="italic"/>
          <w:i w:val="0"/>
          <w:iCs w:val="0"/>
          <w:color w:val="FF0000"/>
        </w:rPr>
        <w:t>Address this letter jointly to all probable independent executors and send two copies, together with a copy of the Texas Lawyer’s Creed, to each. Send a copy of the letter to counsel in jurisdiction of foreign probate (6.60 of MIL).</w:t>
      </w:r>
    </w:p>
    <w:p w14:paraId="1D24FF97" w14:textId="77777777" w:rsidR="00FF6C23" w:rsidRDefault="00614E3F" w:rsidP="0045333B">
      <w:pPr>
        <w:pStyle w:val="para"/>
        <w:widowControl/>
        <w:tabs>
          <w:tab w:val="right" w:leader="underscore" w:pos="9000"/>
        </w:tabs>
        <w:spacing w:before="480" w:after="200" w:line="240" w:lineRule="auto"/>
        <w:jc w:val="left"/>
        <w:rPr>
          <w:w w:val="100"/>
          <w:sz w:val="24"/>
          <w:szCs w:val="24"/>
        </w:rPr>
      </w:pPr>
      <w:r w:rsidRPr="00614E3F">
        <w:rPr>
          <w:rStyle w:val="substitute"/>
          <w:rFonts w:ascii="Times New Roman" w:hAnsi="Times New Roman" w:cs="Times New Roman"/>
          <w:b w:val="0"/>
          <w:w w:val="100"/>
          <w:sz w:val="24"/>
        </w:rPr>
        <w:t>[</w:t>
      </w:r>
      <w:r w:rsidR="00FF6C23">
        <w:rPr>
          <w:rStyle w:val="substitute"/>
          <w:w w:val="100"/>
        </w:rPr>
        <w:t>Today’s date</w:t>
      </w:r>
      <w:r w:rsidR="00FF6C23">
        <w:rPr>
          <w:w w:val="100"/>
          <w:sz w:val="24"/>
          <w:szCs w:val="24"/>
        </w:rPr>
        <w:t>]</w:t>
      </w:r>
    </w:p>
    <w:p w14:paraId="1D24FF98" w14:textId="77777777" w:rsidR="00D23CF9" w:rsidRDefault="00D23CF9" w:rsidP="0045333B">
      <w:pPr>
        <w:pStyle w:val="para"/>
        <w:widowControl/>
        <w:tabs>
          <w:tab w:val="right" w:leader="underscore" w:pos="9000"/>
        </w:tabs>
        <w:spacing w:before="0" w:after="200" w:line="240" w:lineRule="auto"/>
        <w:jc w:val="left"/>
        <w:rPr>
          <w:w w:val="100"/>
          <w:sz w:val="24"/>
          <w:szCs w:val="24"/>
        </w:rPr>
      </w:pPr>
      <w:r w:rsidRPr="00AC6731">
        <w:rPr>
          <w:bCs/>
          <w:w w:val="100"/>
          <w:sz w:val="24"/>
        </w:rPr>
        <w:t>[</w:t>
      </w:r>
      <w:r>
        <w:rPr>
          <w:rFonts w:ascii="Arial" w:hAnsi="Arial" w:cs="Arial"/>
          <w:b/>
          <w:bCs/>
          <w:w w:val="100"/>
        </w:rPr>
        <w:t>2.45</w:t>
      </w:r>
      <w:r w:rsidRPr="006671F9">
        <w:rPr>
          <w:bCs/>
          <w:w w:val="100"/>
          <w:sz w:val="24"/>
          <w:szCs w:val="24"/>
        </w:rPr>
        <w:t>]</w:t>
      </w:r>
      <w:r>
        <w:rPr>
          <w:rFonts w:ascii="Arial" w:hAnsi="Arial" w:cs="Arial"/>
          <w:b/>
          <w:bCs/>
          <w:w w:val="100"/>
        </w:rPr>
        <w:br/>
      </w:r>
      <w:r w:rsidRPr="006671F9">
        <w:rPr>
          <w:bCs/>
          <w:w w:val="100"/>
          <w:sz w:val="24"/>
          <w:szCs w:val="24"/>
        </w:rPr>
        <w:t>[</w:t>
      </w:r>
      <w:r>
        <w:rPr>
          <w:rFonts w:ascii="Arial" w:hAnsi="Arial" w:cs="Arial"/>
          <w:b/>
          <w:bCs/>
          <w:w w:val="100"/>
        </w:rPr>
        <w:t>2.47</w:t>
      </w:r>
      <w:r w:rsidRPr="006671F9">
        <w:rPr>
          <w:bCs/>
          <w:w w:val="100"/>
          <w:sz w:val="24"/>
          <w:szCs w:val="24"/>
        </w:rPr>
        <w:t>]</w:t>
      </w:r>
      <w:r>
        <w:rPr>
          <w:rFonts w:ascii="Arial" w:hAnsi="Arial" w:cs="Arial"/>
          <w:b/>
          <w:bCs/>
          <w:w w:val="100"/>
        </w:rPr>
        <w:br/>
      </w:r>
      <w:r w:rsidRPr="006671F9">
        <w:rPr>
          <w:bCs/>
          <w:w w:val="100"/>
          <w:sz w:val="24"/>
          <w:szCs w:val="24"/>
        </w:rPr>
        <w:t>[</w:t>
      </w:r>
      <w:r>
        <w:rPr>
          <w:rFonts w:ascii="Arial" w:hAnsi="Arial" w:cs="Arial"/>
          <w:b/>
          <w:bCs/>
          <w:w w:val="100"/>
        </w:rPr>
        <w:t>2.48</w:t>
      </w:r>
      <w:r w:rsidRPr="00AC6731">
        <w:rPr>
          <w:bCs/>
          <w:w w:val="100"/>
          <w:sz w:val="24"/>
        </w:rPr>
        <w:t>]</w:t>
      </w:r>
    </w:p>
    <w:p w14:paraId="1D24FF99" w14:textId="34104AB7" w:rsidR="00D23CF9" w:rsidRPr="00D23CF9" w:rsidRDefault="00D23CF9" w:rsidP="0045333B">
      <w:pPr>
        <w:pStyle w:val="UserInstructionjustifyhidden"/>
      </w:pPr>
      <w:r>
        <w:t>If to a corporate executor, add “Attention: 2.61, 2.63” and change salutation to “</w:t>
      </w:r>
      <w:r w:rsidR="00E369B5">
        <w:t>Greetings</w:t>
      </w:r>
      <w:r>
        <w:t>.”</w:t>
      </w:r>
    </w:p>
    <w:p w14:paraId="1D24FF9A" w14:textId="77777777" w:rsidR="00D23CF9" w:rsidRPr="00D23CF9" w:rsidRDefault="00D23CF9" w:rsidP="0045333B">
      <w:pPr>
        <w:pStyle w:val="para"/>
        <w:spacing w:before="0" w:after="200" w:line="240" w:lineRule="auto"/>
        <w:rPr>
          <w:w w:val="100"/>
        </w:rPr>
      </w:pPr>
    </w:p>
    <w:p w14:paraId="1D24FF9B" w14:textId="77777777" w:rsidR="00FF6C23" w:rsidRDefault="00D254E3" w:rsidP="0045333B">
      <w:pPr>
        <w:pStyle w:val="para"/>
        <w:widowControl/>
        <w:tabs>
          <w:tab w:val="left" w:pos="620"/>
        </w:tabs>
        <w:spacing w:before="0" w:after="480" w:line="240" w:lineRule="auto"/>
        <w:ind w:left="620" w:hanging="620"/>
        <w:jc w:val="left"/>
        <w:rPr>
          <w:w w:val="100"/>
          <w:sz w:val="24"/>
          <w:szCs w:val="24"/>
        </w:rPr>
      </w:pPr>
      <w:r>
        <w:rPr>
          <w:w w:val="100"/>
          <w:sz w:val="24"/>
          <w:szCs w:val="24"/>
        </w:rPr>
        <w:t>Re:</w:t>
      </w:r>
      <w:r w:rsidR="00442857">
        <w:rPr>
          <w:w w:val="100"/>
          <w:sz w:val="24"/>
          <w:szCs w:val="24"/>
        </w:rPr>
        <w:tab/>
      </w:r>
      <w:r w:rsidR="00FF6C23">
        <w:rPr>
          <w:w w:val="100"/>
          <w:sz w:val="24"/>
          <w:szCs w:val="24"/>
        </w:rPr>
        <w:t xml:space="preserve">Estate of </w:t>
      </w:r>
      <w:r w:rsidR="00614E3F" w:rsidRPr="00614E3F">
        <w:rPr>
          <w:w w:val="100"/>
          <w:sz w:val="24"/>
          <w:szCs w:val="24"/>
        </w:rPr>
        <w:t>[</w:t>
      </w:r>
      <w:r w:rsidR="00FF6C23">
        <w:rPr>
          <w:rFonts w:ascii="Arial" w:hAnsi="Arial" w:cs="Arial"/>
          <w:b/>
          <w:bCs/>
          <w:w w:val="100"/>
        </w:rPr>
        <w:t>6.02</w:t>
      </w:r>
      <w:r w:rsidR="00614E3F" w:rsidRPr="00614E3F">
        <w:rPr>
          <w:bCs/>
          <w:w w:val="100"/>
          <w:sz w:val="24"/>
        </w:rPr>
        <w:t>]</w:t>
      </w:r>
      <w:r w:rsidR="00FF6C23">
        <w:rPr>
          <w:w w:val="100"/>
          <w:sz w:val="24"/>
          <w:szCs w:val="24"/>
        </w:rPr>
        <w:t>, Deceased</w:t>
      </w:r>
      <w:r w:rsidR="00FF6C23">
        <w:rPr>
          <w:w w:val="100"/>
          <w:sz w:val="24"/>
          <w:szCs w:val="24"/>
        </w:rPr>
        <w:br/>
      </w:r>
    </w:p>
    <w:p w14:paraId="1D24FF9C" w14:textId="77777777" w:rsidR="00D23CF9" w:rsidRPr="00D23CF9" w:rsidRDefault="00D23CF9" w:rsidP="0045333B">
      <w:pPr>
        <w:pStyle w:val="para"/>
        <w:widowControl/>
        <w:tabs>
          <w:tab w:val="right" w:leader="underscore" w:pos="9000"/>
        </w:tabs>
        <w:spacing w:before="0" w:after="200" w:line="240" w:lineRule="auto"/>
        <w:jc w:val="left"/>
        <w:rPr>
          <w:w w:val="100"/>
          <w:sz w:val="24"/>
          <w:szCs w:val="24"/>
        </w:rPr>
      </w:pPr>
      <w:r w:rsidRPr="00370C78">
        <w:rPr>
          <w:w w:val="100"/>
          <w:sz w:val="24"/>
          <w:szCs w:val="24"/>
        </w:rPr>
        <w:t>Dear</w:t>
      </w:r>
      <w:r>
        <w:rPr>
          <w:w w:val="100"/>
        </w:rPr>
        <w:t xml:space="preserve"> </w:t>
      </w:r>
      <w:r w:rsidRPr="00AC6731">
        <w:rPr>
          <w:w w:val="100"/>
          <w:sz w:val="24"/>
          <w:szCs w:val="24"/>
        </w:rPr>
        <w:t>[</w:t>
      </w:r>
      <w:r>
        <w:rPr>
          <w:rFonts w:ascii="Arial" w:hAnsi="Arial" w:cs="Arial"/>
          <w:b/>
          <w:bCs/>
          <w:w w:val="100"/>
        </w:rPr>
        <w:t>2.46</w:t>
      </w:r>
      <w:r w:rsidRPr="00AC6731">
        <w:rPr>
          <w:bCs/>
          <w:w w:val="100"/>
          <w:sz w:val="24"/>
        </w:rPr>
        <w:t>]</w:t>
      </w:r>
      <w:r>
        <w:rPr>
          <w:w w:val="100"/>
          <w:sz w:val="24"/>
          <w:szCs w:val="24"/>
        </w:rPr>
        <w:t>:</w:t>
      </w:r>
    </w:p>
    <w:p w14:paraId="1D24FF9D" w14:textId="77777777" w:rsidR="00D23CF9" w:rsidRPr="00D23CF9" w:rsidRDefault="00370C78" w:rsidP="0045333B">
      <w:pPr>
        <w:pStyle w:val="para"/>
        <w:spacing w:before="0" w:after="200" w:line="240" w:lineRule="auto"/>
        <w:jc w:val="left"/>
        <w:rPr>
          <w:w w:val="100"/>
          <w:sz w:val="24"/>
          <w:szCs w:val="24"/>
        </w:rPr>
      </w:pPr>
      <w:r>
        <w:rPr>
          <w:w w:val="100"/>
          <w:sz w:val="24"/>
          <w:szCs w:val="24"/>
        </w:rPr>
        <w:tab/>
      </w:r>
      <w:r w:rsidR="00D23CF9" w:rsidRPr="00D23CF9">
        <w:rPr>
          <w:w w:val="100"/>
          <w:sz w:val="24"/>
          <w:szCs w:val="24"/>
        </w:rPr>
        <w:t>Thank you very much for employing this firm to represent you in the ancillary probate of this estate in Texas.</w:t>
      </w:r>
    </w:p>
    <w:p w14:paraId="1D24FF9E" w14:textId="77777777" w:rsidR="00D23CF9" w:rsidRDefault="00370C78" w:rsidP="0045333B">
      <w:pPr>
        <w:pStyle w:val="para"/>
        <w:spacing w:before="0" w:after="200" w:line="240" w:lineRule="auto"/>
        <w:jc w:val="left"/>
        <w:rPr>
          <w:w w:val="100"/>
        </w:rPr>
      </w:pPr>
      <w:r>
        <w:rPr>
          <w:w w:val="100"/>
          <w:sz w:val="24"/>
          <w:szCs w:val="24"/>
        </w:rPr>
        <w:tab/>
      </w:r>
      <w:r w:rsidR="00D23CF9" w:rsidRPr="00D23CF9">
        <w:rPr>
          <w:w w:val="100"/>
          <w:sz w:val="24"/>
          <w:szCs w:val="24"/>
        </w:rPr>
        <w:t>Receipt is hereby acknowledged of a cash payment of</w:t>
      </w:r>
      <w:r w:rsidR="00D23CF9">
        <w:rPr>
          <w:w w:val="100"/>
        </w:rPr>
        <w:t xml:space="preserve"> </w:t>
      </w:r>
      <w:r w:rsidR="00D23CF9">
        <w:rPr>
          <w:w w:val="100"/>
          <w:sz w:val="24"/>
          <w:szCs w:val="24"/>
        </w:rPr>
        <w:t>$</w:t>
      </w:r>
      <w:r w:rsidR="00D23CF9" w:rsidRPr="00AC6731">
        <w:rPr>
          <w:w w:val="100"/>
          <w:sz w:val="24"/>
          <w:szCs w:val="24"/>
        </w:rPr>
        <w:t>[</w:t>
      </w:r>
      <w:r w:rsidR="00D23CF9">
        <w:rPr>
          <w:rFonts w:ascii="Arial" w:hAnsi="Arial" w:cs="Arial"/>
          <w:b/>
          <w:bCs/>
          <w:w w:val="100"/>
        </w:rPr>
        <w:t>25.02D</w:t>
      </w:r>
      <w:r w:rsidR="00D23CF9" w:rsidRPr="00AC6731">
        <w:rPr>
          <w:bCs/>
          <w:w w:val="100"/>
          <w:sz w:val="24"/>
        </w:rPr>
        <w:t>]</w:t>
      </w:r>
      <w:r w:rsidR="00D23CF9">
        <w:rPr>
          <w:w w:val="100"/>
          <w:sz w:val="24"/>
          <w:szCs w:val="24"/>
        </w:rPr>
        <w:t xml:space="preserve">, </w:t>
      </w:r>
      <w:r w:rsidR="00D23CF9" w:rsidRPr="00D23CF9">
        <w:rPr>
          <w:w w:val="100"/>
          <w:sz w:val="24"/>
          <w:szCs w:val="24"/>
        </w:rPr>
        <w:t>which will be applied to the payment of expenses incurred or for legal fees due with respect to such representation. As we agreed, the fee will be</w:t>
      </w:r>
      <w:r w:rsidR="00D23CF9">
        <w:rPr>
          <w:w w:val="100"/>
        </w:rPr>
        <w:t xml:space="preserve"> </w:t>
      </w:r>
      <w:r w:rsidR="00D23CF9">
        <w:rPr>
          <w:w w:val="100"/>
          <w:sz w:val="24"/>
          <w:szCs w:val="24"/>
        </w:rPr>
        <w:t>[$</w:t>
      </w:r>
      <w:r w:rsidR="00D23CF9" w:rsidRPr="00AC6731">
        <w:rPr>
          <w:w w:val="100"/>
          <w:sz w:val="24"/>
          <w:szCs w:val="24"/>
        </w:rPr>
        <w:t>[</w:t>
      </w:r>
      <w:r w:rsidR="00D23CF9">
        <w:rPr>
          <w:rFonts w:ascii="Arial" w:hAnsi="Arial" w:cs="Arial"/>
          <w:b/>
          <w:bCs/>
          <w:w w:val="100"/>
        </w:rPr>
        <w:t>25.02A</w:t>
      </w:r>
      <w:r w:rsidR="00D23CF9" w:rsidRPr="00AC6731">
        <w:rPr>
          <w:bCs/>
          <w:w w:val="100"/>
          <w:sz w:val="24"/>
        </w:rPr>
        <w:t>]</w:t>
      </w:r>
      <w:r w:rsidR="00D23CF9">
        <w:rPr>
          <w:w w:val="100"/>
          <w:sz w:val="24"/>
          <w:szCs w:val="24"/>
        </w:rPr>
        <w:t>/</w:t>
      </w:r>
      <w:r w:rsidR="00D23CF9" w:rsidRPr="00AC6731">
        <w:rPr>
          <w:w w:val="100"/>
          <w:sz w:val="24"/>
          <w:szCs w:val="24"/>
        </w:rPr>
        <w:t>[</w:t>
      </w:r>
      <w:r w:rsidR="00D23CF9">
        <w:rPr>
          <w:rFonts w:ascii="Arial" w:hAnsi="Arial" w:cs="Arial"/>
          <w:b/>
          <w:bCs/>
          <w:w w:val="100"/>
        </w:rPr>
        <w:t>25.02B</w:t>
      </w:r>
      <w:r w:rsidR="00D23CF9" w:rsidRPr="00AC6731">
        <w:rPr>
          <w:bCs/>
          <w:w w:val="100"/>
          <w:sz w:val="24"/>
        </w:rPr>
        <w:t>]</w:t>
      </w:r>
      <w:r w:rsidR="00D23CF9">
        <w:rPr>
          <w:w w:val="100"/>
          <w:sz w:val="24"/>
          <w:szCs w:val="24"/>
        </w:rPr>
        <w:t xml:space="preserve"> </w:t>
      </w:r>
      <w:r w:rsidR="00D23CF9" w:rsidRPr="00D23CF9">
        <w:rPr>
          <w:w w:val="100"/>
          <w:sz w:val="24"/>
          <w:szCs w:val="24"/>
        </w:rPr>
        <w:t>percent of the gross ancillary estate as determined for federal estate tax purposes/based on time spent on your behalf, with hourly rates of</w:t>
      </w:r>
      <w:r w:rsidR="00D23CF9">
        <w:rPr>
          <w:w w:val="100"/>
        </w:rPr>
        <w:t xml:space="preserve"> </w:t>
      </w:r>
      <w:r w:rsidR="00D23CF9">
        <w:rPr>
          <w:w w:val="100"/>
          <w:sz w:val="24"/>
          <w:szCs w:val="24"/>
        </w:rPr>
        <w:t>$</w:t>
      </w:r>
      <w:r w:rsidR="00D23CF9" w:rsidRPr="00AC6731">
        <w:rPr>
          <w:w w:val="100"/>
          <w:sz w:val="24"/>
          <w:szCs w:val="24"/>
        </w:rPr>
        <w:t>[</w:t>
      </w:r>
      <w:r w:rsidR="00D23CF9">
        <w:rPr>
          <w:rFonts w:ascii="Arial" w:hAnsi="Arial" w:cs="Arial"/>
          <w:b/>
          <w:bCs/>
          <w:w w:val="100"/>
        </w:rPr>
        <w:t>25.02C</w:t>
      </w:r>
      <w:r w:rsidR="00D23CF9" w:rsidRPr="00AC6731">
        <w:rPr>
          <w:bCs/>
          <w:w w:val="100"/>
          <w:sz w:val="24"/>
        </w:rPr>
        <w:t>]</w:t>
      </w:r>
      <w:r w:rsidR="00D23CF9">
        <w:rPr>
          <w:w w:val="100"/>
          <w:sz w:val="24"/>
          <w:szCs w:val="24"/>
        </w:rPr>
        <w:t xml:space="preserve"> </w:t>
      </w:r>
      <w:r w:rsidR="00D23CF9" w:rsidRPr="00D23CF9">
        <w:rPr>
          <w:w w:val="100"/>
          <w:sz w:val="24"/>
          <w:szCs w:val="24"/>
        </w:rPr>
        <w:t>for attorney’s time and</w:t>
      </w:r>
      <w:r w:rsidR="00D23CF9">
        <w:rPr>
          <w:w w:val="100"/>
        </w:rPr>
        <w:t xml:space="preserve"> </w:t>
      </w:r>
      <w:r w:rsidR="00D23CF9">
        <w:rPr>
          <w:w w:val="100"/>
          <w:sz w:val="24"/>
          <w:szCs w:val="24"/>
        </w:rPr>
        <w:t>$</w:t>
      </w:r>
      <w:r w:rsidR="00D23CF9" w:rsidRPr="00AC6731">
        <w:rPr>
          <w:w w:val="100"/>
          <w:sz w:val="24"/>
          <w:szCs w:val="24"/>
        </w:rPr>
        <w:t>[</w:t>
      </w:r>
      <w:r w:rsidR="00D23CF9">
        <w:rPr>
          <w:rFonts w:ascii="Arial" w:hAnsi="Arial" w:cs="Arial"/>
          <w:b/>
          <w:bCs/>
          <w:w w:val="100"/>
        </w:rPr>
        <w:t>25.02C</w:t>
      </w:r>
      <w:r w:rsidR="00D23CF9" w:rsidRPr="00AC6731">
        <w:rPr>
          <w:bCs/>
          <w:w w:val="100"/>
          <w:sz w:val="24"/>
        </w:rPr>
        <w:t>]</w:t>
      </w:r>
      <w:r w:rsidR="00D23CF9">
        <w:rPr>
          <w:w w:val="100"/>
          <w:sz w:val="24"/>
          <w:szCs w:val="24"/>
        </w:rPr>
        <w:t xml:space="preserve"> </w:t>
      </w:r>
      <w:r w:rsidR="00D23CF9" w:rsidRPr="00D23CF9">
        <w:rPr>
          <w:w w:val="100"/>
          <w:sz w:val="24"/>
          <w:szCs w:val="24"/>
        </w:rPr>
        <w:t>for staff time]. In addition to fees for services, you are to pay or reimburse expenses incurred on your behalf. These expenses include</w:t>
      </w:r>
      <w:r w:rsidR="00D23CF9">
        <w:rPr>
          <w:w w:val="100"/>
        </w:rPr>
        <w:t xml:space="preserve"> </w:t>
      </w:r>
      <w:r w:rsidR="00D23CF9" w:rsidRPr="00463468">
        <w:rPr>
          <w:w w:val="100"/>
          <w:sz w:val="24"/>
          <w:szCs w:val="24"/>
        </w:rPr>
        <w:t>[</w:t>
      </w:r>
      <w:r w:rsidR="00D23CF9">
        <w:rPr>
          <w:rFonts w:ascii="Arial" w:hAnsi="Arial" w:cs="Arial"/>
          <w:b/>
          <w:bCs/>
          <w:w w:val="100"/>
        </w:rPr>
        <w:t xml:space="preserve">specify expenses you expect client to pay, e.g., </w:t>
      </w:r>
      <w:r w:rsidR="00D23CF9" w:rsidRPr="00463468">
        <w:rPr>
          <w:w w:val="100"/>
          <w:sz w:val="24"/>
          <w:szCs w:val="24"/>
        </w:rPr>
        <w:t>filing fees; recording charges; publication of notices; appraisal fees; long-distance, facsimile, and delivery charges; photocopies; and postage].</w:t>
      </w:r>
    </w:p>
    <w:p w14:paraId="1D24FF9F" w14:textId="77777777" w:rsidR="00D23CF9" w:rsidRPr="00463468" w:rsidRDefault="00370C78" w:rsidP="0045333B">
      <w:pPr>
        <w:pStyle w:val="para"/>
        <w:spacing w:before="0" w:after="200" w:line="240" w:lineRule="auto"/>
        <w:rPr>
          <w:w w:val="100"/>
          <w:sz w:val="24"/>
          <w:szCs w:val="24"/>
        </w:rPr>
      </w:pPr>
      <w:r>
        <w:rPr>
          <w:w w:val="100"/>
          <w:sz w:val="24"/>
          <w:szCs w:val="24"/>
        </w:rPr>
        <w:tab/>
      </w:r>
      <w:r w:rsidR="00D23CF9" w:rsidRPr="00463468">
        <w:rPr>
          <w:w w:val="100"/>
          <w:sz w:val="24"/>
          <w:szCs w:val="24"/>
        </w:rPr>
        <w:t>The above fee is for the following services:</w:t>
      </w:r>
    </w:p>
    <w:p w14:paraId="1D24FFA0"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1. </w:t>
      </w:r>
      <w:r w:rsidRPr="00463468">
        <w:rPr>
          <w:w w:val="100"/>
          <w:sz w:val="24"/>
          <w:szCs w:val="24"/>
        </w:rPr>
        <w:tab/>
        <w:t>Preparing the application for ancillary probate of the [will/will and codicil] and independent administration</w:t>
      </w:r>
      <w:r>
        <w:rPr>
          <w:w w:val="100"/>
        </w:rPr>
        <w:t xml:space="preserve"> </w:t>
      </w:r>
      <w:r w:rsidRPr="00463468">
        <w:rPr>
          <w:w w:val="100"/>
          <w:sz w:val="24"/>
          <w:szCs w:val="24"/>
        </w:rPr>
        <w:t>[</w:t>
      </w:r>
      <w:r>
        <w:rPr>
          <w:rFonts w:ascii="Arial" w:hAnsi="Arial" w:cs="Arial"/>
          <w:b/>
          <w:bCs/>
          <w:w w:val="100"/>
        </w:rPr>
        <w:t>include if applicable:</w:t>
      </w:r>
      <w:r>
        <w:rPr>
          <w:w w:val="100"/>
        </w:rPr>
        <w:t xml:space="preserve"> </w:t>
      </w:r>
      <w:r w:rsidRPr="00463468">
        <w:rPr>
          <w:w w:val="100"/>
          <w:sz w:val="24"/>
          <w:szCs w:val="24"/>
        </w:rPr>
        <w:t>and preparing distributee consents for independent administration]</w:t>
      </w:r>
    </w:p>
    <w:p w14:paraId="1D24FFA1"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lastRenderedPageBreak/>
        <w:t xml:space="preserve">2. </w:t>
      </w:r>
      <w:r w:rsidRPr="00463468">
        <w:rPr>
          <w:w w:val="100"/>
          <w:sz w:val="24"/>
          <w:szCs w:val="24"/>
        </w:rPr>
        <w:tab/>
        <w:t>Arranging for the proof necessary to have the [will/will and codicil] admitted to ancillary probate and independent administration authorized</w:t>
      </w:r>
    </w:p>
    <w:p w14:paraId="1D24FFA2"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3. </w:t>
      </w:r>
      <w:r w:rsidRPr="00463468">
        <w:rPr>
          <w:w w:val="100"/>
          <w:sz w:val="24"/>
          <w:szCs w:val="24"/>
        </w:rPr>
        <w:tab/>
        <w:t>Appearing in court to have the [will/will and codicil] so admitted and independent administration authorized</w:t>
      </w:r>
    </w:p>
    <w:p w14:paraId="1D24FFA3"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4. </w:t>
      </w:r>
      <w:r w:rsidRPr="00463468">
        <w:rPr>
          <w:w w:val="100"/>
          <w:sz w:val="24"/>
          <w:szCs w:val="24"/>
        </w:rPr>
        <w:tab/>
        <w:t>Preparing the order to be signed by the judge to admit the [will/will and codicil] to ancillary probate and authorize independent administration</w:t>
      </w:r>
    </w:p>
    <w:p w14:paraId="1D24FFA4"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5. </w:t>
      </w:r>
      <w:r w:rsidRPr="00463468">
        <w:rPr>
          <w:w w:val="100"/>
          <w:sz w:val="24"/>
          <w:szCs w:val="24"/>
        </w:rPr>
        <w:tab/>
        <w:t>Preparing and filing the oath of the executor</w:t>
      </w:r>
    </w:p>
    <w:p w14:paraId="1D24FFA5"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6. </w:t>
      </w:r>
      <w:r w:rsidRPr="00463468">
        <w:rPr>
          <w:w w:val="100"/>
          <w:sz w:val="24"/>
          <w:szCs w:val="24"/>
        </w:rPr>
        <w:tab/>
        <w:t>Preparing and arranging for the publication of notice to creditors</w:t>
      </w:r>
    </w:p>
    <w:p w14:paraId="1D24FFA6"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7. </w:t>
      </w:r>
      <w:r w:rsidRPr="00463468">
        <w:rPr>
          <w:w w:val="100"/>
          <w:sz w:val="24"/>
          <w:szCs w:val="24"/>
        </w:rPr>
        <w:tab/>
        <w:t>Preparing and serving notices to secured creditors</w:t>
      </w:r>
    </w:p>
    <w:p w14:paraId="1D24FFA7"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8. </w:t>
      </w:r>
      <w:r w:rsidRPr="00463468">
        <w:rPr>
          <w:w w:val="100"/>
          <w:sz w:val="24"/>
          <w:szCs w:val="24"/>
        </w:rPr>
        <w:tab/>
        <w:t>Preparing and sending required notices to beneficiaries</w:t>
      </w:r>
    </w:p>
    <w:p w14:paraId="1D24FFA8"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9. </w:t>
      </w:r>
      <w:r w:rsidRPr="00463468">
        <w:rPr>
          <w:w w:val="100"/>
          <w:sz w:val="24"/>
          <w:szCs w:val="24"/>
        </w:rPr>
        <w:tab/>
        <w:t>Preparing and filing the certificate or affidavit of notice to beneficiaries</w:t>
      </w:r>
    </w:p>
    <w:p w14:paraId="1D24FFA9"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10. </w:t>
      </w:r>
      <w:r w:rsidRPr="00463468">
        <w:rPr>
          <w:w w:val="100"/>
          <w:sz w:val="24"/>
          <w:szCs w:val="24"/>
        </w:rPr>
        <w:tab/>
        <w:t>Determining the nature, extent, and valuation of the estate</w:t>
      </w:r>
    </w:p>
    <w:p w14:paraId="1D24FFAA"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11. </w:t>
      </w:r>
      <w:r w:rsidRPr="00463468">
        <w:rPr>
          <w:w w:val="100"/>
          <w:sz w:val="24"/>
          <w:szCs w:val="24"/>
        </w:rPr>
        <w:tab/>
        <w:t>Preparing and filing the statutory inventory, appraisement, and list of claims or affidavit in lieu thereof and obtaining the judge’s approval of the same</w:t>
      </w:r>
    </w:p>
    <w:p w14:paraId="1D24FFAB"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12. </w:t>
      </w:r>
      <w:r w:rsidRPr="00463468">
        <w:rPr>
          <w:w w:val="100"/>
          <w:sz w:val="24"/>
          <w:szCs w:val="24"/>
        </w:rPr>
        <w:tab/>
        <w:t>Determining the nature and amount of the liabilities of the estate</w:t>
      </w:r>
    </w:p>
    <w:p w14:paraId="1D24FFAC"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13. </w:t>
      </w:r>
      <w:r w:rsidRPr="00463468">
        <w:rPr>
          <w:w w:val="100"/>
          <w:sz w:val="24"/>
          <w:szCs w:val="24"/>
        </w:rPr>
        <w:tab/>
        <w:t>Assisting in the transfer of title to all of the decedent’s assets</w:t>
      </w:r>
    </w:p>
    <w:p w14:paraId="1D24FFAD" w14:textId="77777777" w:rsidR="00D23CF9" w:rsidRPr="00463468" w:rsidRDefault="00D23CF9" w:rsidP="0045333B">
      <w:pPr>
        <w:pStyle w:val="para"/>
        <w:tabs>
          <w:tab w:val="left" w:pos="1100"/>
        </w:tabs>
        <w:spacing w:before="0" w:after="200" w:line="240" w:lineRule="auto"/>
        <w:ind w:left="1100" w:hanging="480"/>
        <w:jc w:val="left"/>
        <w:rPr>
          <w:w w:val="100"/>
          <w:sz w:val="24"/>
          <w:szCs w:val="24"/>
        </w:rPr>
      </w:pPr>
      <w:r w:rsidRPr="00463468">
        <w:rPr>
          <w:w w:val="100"/>
          <w:sz w:val="24"/>
          <w:szCs w:val="24"/>
        </w:rPr>
        <w:t xml:space="preserve">14. </w:t>
      </w:r>
      <w:r w:rsidRPr="00463468">
        <w:rPr>
          <w:w w:val="100"/>
          <w:sz w:val="24"/>
          <w:szCs w:val="24"/>
        </w:rPr>
        <w:tab/>
        <w:t>Investigating, determining, calculating, allocating, or dealing with asset valuations and tax basis information</w:t>
      </w:r>
    </w:p>
    <w:p w14:paraId="1D24FFAE" w14:textId="77777777" w:rsidR="00D23CF9" w:rsidRDefault="00D23CF9" w:rsidP="0045333B">
      <w:pPr>
        <w:pStyle w:val="para"/>
        <w:tabs>
          <w:tab w:val="left" w:pos="1100"/>
        </w:tabs>
        <w:spacing w:before="0" w:after="200" w:line="240" w:lineRule="auto"/>
        <w:ind w:left="1100" w:hanging="480"/>
        <w:jc w:val="left"/>
        <w:rPr>
          <w:w w:val="100"/>
        </w:rPr>
      </w:pPr>
      <w:r w:rsidRPr="00463468">
        <w:rPr>
          <w:w w:val="100"/>
          <w:sz w:val="24"/>
          <w:szCs w:val="24"/>
        </w:rPr>
        <w:t xml:space="preserve">15. </w:t>
      </w:r>
      <w:r w:rsidRPr="00463468">
        <w:rPr>
          <w:w w:val="100"/>
          <w:sz w:val="24"/>
          <w:szCs w:val="24"/>
        </w:rPr>
        <w:tab/>
        <w:t>Coordinating the above matters with you as the [</w:t>
      </w:r>
      <w:r>
        <w:rPr>
          <w:rFonts w:ascii="Arial" w:hAnsi="Arial" w:cs="Arial"/>
          <w:b/>
          <w:bCs/>
          <w:w w:val="100"/>
        </w:rPr>
        <w:t>include if applicable:</w:t>
      </w:r>
      <w:r>
        <w:rPr>
          <w:w w:val="100"/>
        </w:rPr>
        <w:t xml:space="preserve"> </w:t>
      </w:r>
      <w:r w:rsidRPr="00463468">
        <w:rPr>
          <w:w w:val="100"/>
          <w:sz w:val="24"/>
          <w:szCs w:val="24"/>
        </w:rPr>
        <w:t xml:space="preserve">independent] executor of the estate and your professional advisors in </w:t>
      </w:r>
      <w:r w:rsidR="00463468" w:rsidRPr="00463468">
        <w:rPr>
          <w:w w:val="100"/>
          <w:sz w:val="24"/>
          <w:szCs w:val="24"/>
        </w:rPr>
        <w:t>[</w:t>
      </w:r>
      <w:r>
        <w:rPr>
          <w:rFonts w:ascii="Arial" w:hAnsi="Arial" w:cs="Arial"/>
          <w:b/>
          <w:bCs/>
          <w:w w:val="100"/>
        </w:rPr>
        <w:t>2.02J</w:t>
      </w:r>
      <w:r w:rsidR="00463468" w:rsidRPr="00463468">
        <w:rPr>
          <w:bCs/>
          <w:w w:val="100"/>
          <w:sz w:val="24"/>
          <w:szCs w:val="24"/>
        </w:rPr>
        <w:t>]</w:t>
      </w:r>
      <w:r w:rsidRPr="00463468">
        <w:rPr>
          <w:w w:val="100"/>
          <w:sz w:val="24"/>
          <w:szCs w:val="24"/>
        </w:rPr>
        <w:t xml:space="preserve"> </w:t>
      </w:r>
    </w:p>
    <w:p w14:paraId="1D24FFAF"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Administering estates in multiple jurisdictions: We understand that original probate of Decedent’s will was had about</w:t>
      </w:r>
      <w:r w:rsidR="00D23CF9">
        <w:rPr>
          <w:w w:val="100"/>
        </w:rPr>
        <w:t xml:space="preserve"> </w:t>
      </w:r>
      <w:r w:rsidR="00463468" w:rsidRPr="00463468">
        <w:rPr>
          <w:w w:val="100"/>
          <w:sz w:val="24"/>
          <w:szCs w:val="24"/>
        </w:rPr>
        <w:t>[</w:t>
      </w:r>
      <w:r w:rsidR="00D23CF9">
        <w:rPr>
          <w:rFonts w:ascii="Arial" w:hAnsi="Arial" w:cs="Arial"/>
          <w:b/>
          <w:bCs/>
          <w:w w:val="100"/>
        </w:rPr>
        <w:t>2.02C</w:t>
      </w:r>
      <w:r w:rsidR="00D23CF9">
        <w:rPr>
          <w:w w:val="100"/>
        </w:rPr>
        <w:t xml:space="preserve"> in </w:t>
      </w:r>
      <w:r w:rsidR="00D23CF9">
        <w:rPr>
          <w:rFonts w:ascii="Arial" w:hAnsi="Arial" w:cs="Arial"/>
          <w:b/>
          <w:bCs/>
          <w:w w:val="100"/>
        </w:rPr>
        <w:t>2.02J</w:t>
      </w:r>
      <w:r w:rsidR="00463468" w:rsidRPr="00463468">
        <w:rPr>
          <w:bCs/>
          <w:w w:val="100"/>
          <w:sz w:val="24"/>
          <w:szCs w:val="24"/>
        </w:rPr>
        <w:t>]</w:t>
      </w:r>
      <w:r w:rsidR="00D23CF9">
        <w:rPr>
          <w:w w:val="100"/>
        </w:rPr>
        <w:t xml:space="preserve"> </w:t>
      </w:r>
      <w:r w:rsidR="00D23CF9" w:rsidRPr="00463468">
        <w:rPr>
          <w:w w:val="100"/>
          <w:sz w:val="24"/>
          <w:szCs w:val="24"/>
        </w:rPr>
        <w:t>and that you qualified there as [</w:t>
      </w:r>
      <w:r w:rsidR="00D23CF9">
        <w:rPr>
          <w:rFonts w:ascii="Arial" w:hAnsi="Arial" w:cs="Arial"/>
          <w:b/>
          <w:bCs/>
          <w:w w:val="100"/>
        </w:rPr>
        <w:t>include if applicable:</w:t>
      </w:r>
      <w:r w:rsidR="00D23CF9">
        <w:rPr>
          <w:w w:val="100"/>
        </w:rPr>
        <w:t xml:space="preserve"> </w:t>
      </w:r>
      <w:r w:rsidR="00D23CF9" w:rsidRPr="00463468">
        <w:rPr>
          <w:w w:val="100"/>
          <w:sz w:val="24"/>
          <w:szCs w:val="24"/>
        </w:rPr>
        <w:t>independent] executor on</w:t>
      </w:r>
      <w:r w:rsidR="00D23CF9">
        <w:rPr>
          <w:w w:val="100"/>
        </w:rPr>
        <w:t xml:space="preserve"> </w:t>
      </w:r>
      <w:r w:rsidR="00463468" w:rsidRPr="00463468">
        <w:rPr>
          <w:w w:val="100"/>
          <w:sz w:val="24"/>
          <w:szCs w:val="24"/>
        </w:rPr>
        <w:t>[</w:t>
      </w:r>
      <w:r w:rsidR="00D23CF9">
        <w:rPr>
          <w:rFonts w:ascii="Arial" w:hAnsi="Arial" w:cs="Arial"/>
          <w:b/>
          <w:bCs/>
          <w:w w:val="100"/>
        </w:rPr>
        <w:t>2.02D</w:t>
      </w:r>
      <w:r w:rsidR="00463468" w:rsidRPr="00463468">
        <w:rPr>
          <w:bCs/>
          <w:w w:val="100"/>
          <w:sz w:val="24"/>
          <w:szCs w:val="24"/>
        </w:rPr>
        <w:t>]</w:t>
      </w:r>
      <w:r w:rsidR="00D23CF9" w:rsidRPr="00463468">
        <w:rPr>
          <w:w w:val="100"/>
          <w:sz w:val="24"/>
          <w:szCs w:val="24"/>
        </w:rPr>
        <w:t>. The court there has jurisdiction over all real or personal property physically located there, including cars and household furnishings. Because Decedent was domiciled there at death, that court likely also has original jurisdiction over all of Decedent’s intangible assets, such as marketable securities, bank accounts, life insurance, and employee benefits.</w:t>
      </w:r>
    </w:p>
    <w:p w14:paraId="1D24FFB0"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Some definitions will help you better understand your duties in Texas and the necessity of coordinating with your responsibilities in other jurisdictions. “Ancillary” indicates that the decedent was not domiciled in Texas and the will was first probated in another state or country. “Ancillary probate” is the Texas proceeding acknowledging the other court’s appointment of you as [</w:t>
      </w:r>
      <w:r w:rsidR="00D23CF9">
        <w:rPr>
          <w:rFonts w:ascii="Arial" w:hAnsi="Arial" w:cs="Arial"/>
          <w:b/>
          <w:bCs/>
          <w:w w:val="100"/>
        </w:rPr>
        <w:t>include if applicable:</w:t>
      </w:r>
      <w:r w:rsidR="00D23CF9">
        <w:rPr>
          <w:w w:val="100"/>
        </w:rPr>
        <w:t xml:space="preserve"> </w:t>
      </w:r>
      <w:r w:rsidR="00D23CF9" w:rsidRPr="00463468">
        <w:rPr>
          <w:w w:val="100"/>
          <w:sz w:val="24"/>
          <w:szCs w:val="24"/>
        </w:rPr>
        <w:t>independent] executor, enabling you to administer property here, typically real or personal property physically located in Texas. In contrast, most probate proceedings in Texas are original, because the decedent lived here and the will is first probated here, and most if not all assets are located here.</w:t>
      </w:r>
    </w:p>
    <w:p w14:paraId="1D24FFB1"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 xml:space="preserve">We will consult your advisors in </w:t>
      </w:r>
      <w:r w:rsidR="00463468" w:rsidRPr="00463468">
        <w:rPr>
          <w:w w:val="100"/>
          <w:sz w:val="24"/>
          <w:szCs w:val="24"/>
        </w:rPr>
        <w:t>[</w:t>
      </w:r>
      <w:r w:rsidR="00D23CF9">
        <w:rPr>
          <w:rFonts w:ascii="Arial" w:hAnsi="Arial" w:cs="Arial"/>
          <w:b/>
          <w:bCs/>
          <w:w w:val="100"/>
        </w:rPr>
        <w:t>2.02J</w:t>
      </w:r>
      <w:r w:rsidR="00463468" w:rsidRPr="00463468">
        <w:rPr>
          <w:bCs/>
          <w:w w:val="100"/>
          <w:sz w:val="24"/>
          <w:szCs w:val="24"/>
        </w:rPr>
        <w:t>]</w:t>
      </w:r>
      <w:r w:rsidR="00D23CF9">
        <w:rPr>
          <w:w w:val="100"/>
        </w:rPr>
        <w:t xml:space="preserve"> </w:t>
      </w:r>
      <w:r w:rsidR="00D23CF9" w:rsidRPr="00463468">
        <w:rPr>
          <w:w w:val="100"/>
          <w:sz w:val="24"/>
          <w:szCs w:val="24"/>
        </w:rPr>
        <w:t>as they request and as we think necessary. We generally will rely on your</w:t>
      </w:r>
      <w:r w:rsidR="00D23CF9">
        <w:rPr>
          <w:w w:val="100"/>
        </w:rPr>
        <w:t xml:space="preserve"> </w:t>
      </w:r>
      <w:r w:rsidR="00463468" w:rsidRPr="00463468">
        <w:rPr>
          <w:w w:val="100"/>
          <w:sz w:val="24"/>
          <w:szCs w:val="24"/>
        </w:rPr>
        <w:t>[</w:t>
      </w:r>
      <w:r w:rsidR="00D23CF9">
        <w:rPr>
          <w:rFonts w:ascii="Arial" w:hAnsi="Arial" w:cs="Arial"/>
          <w:b/>
          <w:bCs/>
          <w:w w:val="100"/>
        </w:rPr>
        <w:t>2.02J</w:t>
      </w:r>
      <w:r w:rsidR="00463468" w:rsidRPr="00463468">
        <w:rPr>
          <w:bCs/>
          <w:w w:val="100"/>
          <w:sz w:val="24"/>
          <w:szCs w:val="24"/>
        </w:rPr>
        <w:t>]</w:t>
      </w:r>
      <w:r w:rsidR="00D23CF9">
        <w:rPr>
          <w:w w:val="100"/>
        </w:rPr>
        <w:t xml:space="preserve"> </w:t>
      </w:r>
      <w:r w:rsidR="00D23CF9" w:rsidRPr="00463468">
        <w:rPr>
          <w:w w:val="100"/>
          <w:sz w:val="24"/>
          <w:szCs w:val="24"/>
        </w:rPr>
        <w:t>advisors’ explanations of the law there and not conduct independent research. We will assume the accuracy of any work product your</w:t>
      </w:r>
      <w:r w:rsidR="00D23CF9">
        <w:rPr>
          <w:w w:val="100"/>
        </w:rPr>
        <w:t xml:space="preserve"> </w:t>
      </w:r>
      <w:r w:rsidR="00463468" w:rsidRPr="00463468">
        <w:rPr>
          <w:w w:val="100"/>
          <w:sz w:val="24"/>
          <w:szCs w:val="24"/>
        </w:rPr>
        <w:t>[</w:t>
      </w:r>
      <w:r w:rsidR="00D23CF9">
        <w:rPr>
          <w:rFonts w:ascii="Arial" w:hAnsi="Arial" w:cs="Arial"/>
          <w:b/>
          <w:bCs/>
          <w:w w:val="100"/>
        </w:rPr>
        <w:t>2.02J</w:t>
      </w:r>
      <w:r w:rsidR="00463468" w:rsidRPr="00463468">
        <w:rPr>
          <w:bCs/>
          <w:w w:val="100"/>
          <w:sz w:val="24"/>
          <w:szCs w:val="24"/>
        </w:rPr>
        <w:t>]</w:t>
      </w:r>
      <w:r w:rsidR="00D23CF9">
        <w:rPr>
          <w:w w:val="100"/>
        </w:rPr>
        <w:t xml:space="preserve"> </w:t>
      </w:r>
      <w:r w:rsidR="00D23CF9" w:rsidRPr="00463468">
        <w:rPr>
          <w:w w:val="100"/>
          <w:sz w:val="24"/>
          <w:szCs w:val="24"/>
        </w:rPr>
        <w:t xml:space="preserve">advisors provide us; when practical, we will use it. Finally, we assume that you will continue to serve as </w:t>
      </w:r>
      <w:r w:rsidR="00D23CF9">
        <w:rPr>
          <w:w w:val="100"/>
        </w:rPr>
        <w:t>[</w:t>
      </w:r>
      <w:r w:rsidR="00D23CF9">
        <w:rPr>
          <w:rFonts w:ascii="Arial" w:hAnsi="Arial" w:cs="Arial"/>
          <w:b/>
          <w:bCs/>
          <w:w w:val="100"/>
        </w:rPr>
        <w:t>include if applicable:</w:t>
      </w:r>
      <w:r w:rsidR="00D23CF9">
        <w:rPr>
          <w:w w:val="100"/>
        </w:rPr>
        <w:t xml:space="preserve"> </w:t>
      </w:r>
      <w:r w:rsidR="00D23CF9" w:rsidRPr="00463468">
        <w:rPr>
          <w:w w:val="100"/>
          <w:sz w:val="24"/>
          <w:szCs w:val="24"/>
        </w:rPr>
        <w:t>independent] executor of the estate in</w:t>
      </w:r>
      <w:r w:rsidR="00D23CF9">
        <w:rPr>
          <w:w w:val="100"/>
        </w:rPr>
        <w:t xml:space="preserve"> </w:t>
      </w:r>
      <w:r w:rsidR="00463468" w:rsidRPr="00463468">
        <w:rPr>
          <w:w w:val="100"/>
          <w:sz w:val="24"/>
          <w:szCs w:val="24"/>
        </w:rPr>
        <w:t>[</w:t>
      </w:r>
      <w:r w:rsidR="00D23CF9">
        <w:rPr>
          <w:rFonts w:ascii="Arial" w:hAnsi="Arial" w:cs="Arial"/>
          <w:b/>
          <w:bCs/>
          <w:w w:val="100"/>
        </w:rPr>
        <w:t>2.02J</w:t>
      </w:r>
      <w:r w:rsidR="00463468" w:rsidRPr="00463468">
        <w:rPr>
          <w:bCs/>
          <w:w w:val="100"/>
          <w:sz w:val="24"/>
          <w:szCs w:val="24"/>
        </w:rPr>
        <w:t>]</w:t>
      </w:r>
      <w:r w:rsidR="00D23CF9">
        <w:rPr>
          <w:w w:val="100"/>
        </w:rPr>
        <w:t xml:space="preserve"> </w:t>
      </w:r>
      <w:r w:rsidR="00D23CF9" w:rsidRPr="00463468">
        <w:rPr>
          <w:w w:val="100"/>
          <w:sz w:val="24"/>
          <w:szCs w:val="24"/>
        </w:rPr>
        <w:t>for the duration of our engagement. If you cease to serve or someone else qualifies as the personal representative of the estate in</w:t>
      </w:r>
      <w:r w:rsidR="00D23CF9">
        <w:rPr>
          <w:w w:val="100"/>
        </w:rPr>
        <w:t xml:space="preserve"> </w:t>
      </w:r>
      <w:r w:rsidR="00463468" w:rsidRPr="00463468">
        <w:rPr>
          <w:w w:val="100"/>
          <w:sz w:val="24"/>
          <w:szCs w:val="24"/>
        </w:rPr>
        <w:t>[</w:t>
      </w:r>
      <w:r w:rsidR="00D23CF9">
        <w:rPr>
          <w:rFonts w:ascii="Arial" w:hAnsi="Arial" w:cs="Arial"/>
          <w:b/>
          <w:bCs/>
          <w:w w:val="100"/>
        </w:rPr>
        <w:t>2.02J</w:t>
      </w:r>
      <w:r w:rsidR="00463468" w:rsidRPr="00463468">
        <w:rPr>
          <w:bCs/>
          <w:w w:val="100"/>
          <w:sz w:val="24"/>
          <w:szCs w:val="24"/>
        </w:rPr>
        <w:t>]</w:t>
      </w:r>
      <w:r w:rsidR="00D23CF9" w:rsidRPr="00463468">
        <w:rPr>
          <w:w w:val="100"/>
          <w:sz w:val="24"/>
          <w:szCs w:val="24"/>
        </w:rPr>
        <w:t>, please let us know.</w:t>
      </w:r>
    </w:p>
    <w:p w14:paraId="1D24FFB2"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If Decedent left real property in still other jurisdictions, neither the Texas nor the</w:t>
      </w:r>
      <w:r w:rsidR="00D23CF9">
        <w:rPr>
          <w:w w:val="100"/>
        </w:rPr>
        <w:t xml:space="preserve"> </w:t>
      </w:r>
      <w:r w:rsidR="00463468" w:rsidRPr="00463468">
        <w:rPr>
          <w:w w:val="100"/>
          <w:sz w:val="24"/>
          <w:szCs w:val="24"/>
        </w:rPr>
        <w:t>[</w:t>
      </w:r>
      <w:r w:rsidR="00D23CF9">
        <w:rPr>
          <w:rFonts w:ascii="Arial" w:hAnsi="Arial" w:cs="Arial"/>
          <w:b/>
          <w:bCs/>
          <w:w w:val="100"/>
        </w:rPr>
        <w:t>2.02J</w:t>
      </w:r>
      <w:r w:rsidR="00463468" w:rsidRPr="00463468">
        <w:rPr>
          <w:bCs/>
          <w:w w:val="100"/>
          <w:sz w:val="24"/>
          <w:szCs w:val="24"/>
        </w:rPr>
        <w:t>]</w:t>
      </w:r>
      <w:r w:rsidR="00D23CF9">
        <w:rPr>
          <w:w w:val="100"/>
        </w:rPr>
        <w:t xml:space="preserve"> </w:t>
      </w:r>
      <w:r w:rsidR="00D23CF9" w:rsidRPr="00463468">
        <w:rPr>
          <w:w w:val="100"/>
          <w:sz w:val="24"/>
          <w:szCs w:val="24"/>
        </w:rPr>
        <w:t>court will have authority over those assets, and neither will you without ancillary probate in those other jurisdictions, too. Ancillary probate is possible in multiple jurisdictions at once. In this letter, though, “ancillary” refers to only ancillary Texas probate. Ancillary probate in other states or countries is outside the scope of this agreement.</w:t>
      </w:r>
    </w:p>
    <w:p w14:paraId="1D24FFB3"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Neither Texas nor the Internal Revenue Service imposes fewer duties on you because some or most of Decedent’s assets are located elsewhere. Performing those duties may require input from advisors in each jurisdiction. For example, income in a community property state may be split with Decedent’s spouse, but not income in other states. Reconciling conflicting laws may be necessary to complete the most basic of tasks, accounting for Decedent’s and the estate’s income. As another example, if Decedent signed a loan in one state secured by property in another, multiple state laws must be consulted to fully understand the estate’s options regarding the debt.</w:t>
      </w:r>
    </w:p>
    <w:p w14:paraId="1D24FFB4"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Once Decedent’s will is admitted to ancillary probate, in Texas, ancillary administration of Decedent’s estate proceeds the same as original probate.</w:t>
      </w:r>
    </w:p>
    <w:p w14:paraId="1D24FFB5" w14:textId="77777777" w:rsidR="00D23CF9"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With your prior approval, we may perform other services on your behalf and for additional agreed-upon fees, such as preparing and filing the United States Estate (and Generation-Skipping Transfer) Tax Return.</w:t>
      </w:r>
    </w:p>
    <w:p w14:paraId="1D24FFB6" w14:textId="77777777" w:rsidR="005A548B" w:rsidRPr="005A548B" w:rsidRDefault="005A548B" w:rsidP="005A548B">
      <w:pPr>
        <w:pStyle w:val="para"/>
        <w:spacing w:after="200"/>
        <w:ind w:firstLine="619"/>
        <w:jc w:val="left"/>
        <w:rPr>
          <w:w w:val="100"/>
          <w:sz w:val="24"/>
        </w:rPr>
      </w:pPr>
      <w:r w:rsidRPr="005A548B">
        <w:rPr>
          <w:w w:val="100"/>
          <w:sz w:val="24"/>
        </w:rPr>
        <w:t xml:space="preserve">On appointment, the executor’s duty of care will require you to insure the estate, typically with property and liability insurance on real property, automobiles, and personal property of significant value. Decedent’s contracts and support obligations might require other insurance. Construction and unusual activities may require specialized insurance. </w:t>
      </w:r>
    </w:p>
    <w:p w14:paraId="1D24FFB7" w14:textId="77777777" w:rsidR="005A548B" w:rsidRPr="003C7FDB" w:rsidRDefault="005A548B" w:rsidP="005A548B">
      <w:pPr>
        <w:pStyle w:val="para"/>
        <w:tabs>
          <w:tab w:val="right" w:leader="underscore" w:pos="9000"/>
        </w:tabs>
        <w:spacing w:after="200"/>
        <w:ind w:firstLine="619"/>
        <w:jc w:val="left"/>
        <w:rPr>
          <w:w w:val="100"/>
          <w:sz w:val="24"/>
          <w:szCs w:val="24"/>
        </w:rPr>
      </w:pPr>
      <w:r w:rsidRPr="003C7FDB">
        <w:rPr>
          <w:w w:val="100"/>
          <w:sz w:val="24"/>
          <w:szCs w:val="24"/>
        </w:rPr>
        <w:t>We are not insurance experts</w:t>
      </w:r>
      <w:r>
        <w:rPr>
          <w:w w:val="100"/>
          <w:sz w:val="24"/>
          <w:szCs w:val="24"/>
        </w:rPr>
        <w:t>,</w:t>
      </w:r>
      <w:r w:rsidRPr="003C7FDB">
        <w:rPr>
          <w:w w:val="100"/>
          <w:sz w:val="24"/>
          <w:szCs w:val="24"/>
        </w:rPr>
        <w:t xml:space="preserve"> and you cannot rely on our insurance advice. These suggestions may not be appropriate or adequate in your situation, and we offer them only to help you start a conversation with your insurance agent.</w:t>
      </w:r>
    </w:p>
    <w:p w14:paraId="1D24FFB8" w14:textId="77777777" w:rsidR="005A548B" w:rsidRPr="005A548B" w:rsidRDefault="005A548B" w:rsidP="005A548B">
      <w:pPr>
        <w:pStyle w:val="para"/>
        <w:spacing w:after="200"/>
        <w:ind w:firstLine="619"/>
        <w:jc w:val="left"/>
        <w:rPr>
          <w:w w:val="100"/>
          <w:sz w:val="24"/>
          <w:szCs w:val="24"/>
        </w:rPr>
      </w:pPr>
      <w:r w:rsidRPr="005A548B">
        <w:rPr>
          <w:w w:val="100"/>
          <w:sz w:val="24"/>
          <w:szCs w:val="24"/>
        </w:rPr>
        <w:t>Unless you describe the necessary insurance with great specificity, an insurance agent is not liable for inadequate coverage. It may be wise to have an expert investigate the estate’s insurance situation and analyze coverage, cost, insurable risks, and exposures to loss. Before you sign, we can review any insurance analysis contract.</w:t>
      </w:r>
    </w:p>
    <w:p w14:paraId="1D24FFB9"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You will be responsible for calendaring and for preparing all of Decedent’s and the estate’s gift and income tax returns. Most clients use a certified public accountant to keep the estate’s fiduciary accounts, prepare tax returns, and complete Schedule K-1 (Form 1041) (to report each beneficiary’s share of income, deductions, and credits).</w:t>
      </w:r>
    </w:p>
    <w:p w14:paraId="1D24FFBA"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With Decedent’s death, the beneficiaries receive many assets having a new income tax basis. Generally speaking, the income tax basis for most assets will be adjusted to the values shown on the federal estate tax return or, if no such return, then as shown on the statutory inventory that will be prepared. Most retirement benefits do not receive an adjusted basis. Death benefits from those plans and life insurance are not controlled by a will but are controlled by beneficiary designations. These assets are usually referred to as “nonprobate assets.” Taxation of retirement benefits is a matter for you to discuss with the person who prepares income tax returns for the estate.</w:t>
      </w:r>
    </w:p>
    <w:p w14:paraId="1D24FFBB" w14:textId="77777777" w:rsidR="00D23CF9" w:rsidRPr="00463468" w:rsidRDefault="00370C78" w:rsidP="0045333B">
      <w:pPr>
        <w:pStyle w:val="para"/>
        <w:spacing w:before="0" w:after="200" w:line="240" w:lineRule="auto"/>
        <w:rPr>
          <w:w w:val="100"/>
          <w:sz w:val="24"/>
          <w:szCs w:val="24"/>
        </w:rPr>
      </w:pPr>
      <w:r>
        <w:rPr>
          <w:w w:val="100"/>
          <w:sz w:val="24"/>
          <w:szCs w:val="24"/>
        </w:rPr>
        <w:tab/>
      </w:r>
      <w:r w:rsidR="00D23CF9" w:rsidRPr="00463468">
        <w:rPr>
          <w:w w:val="100"/>
          <w:sz w:val="24"/>
          <w:szCs w:val="24"/>
        </w:rPr>
        <w:t>Before we begin, we must deal with an important ethical matter to avoid questions of conflicts of interest. As independent executor, only you will be a client of this firm for matters related to the estate. While this may appear obvious, there are many instances in which family members and other beneficiaries believe that a lawyer represents “the estate” directly and thus represents them indirectly. This is not the case. To avoid these conflicts, it is the policy of this firm to recommend that they obtain the advice and services of independent attorneys of their own choosing.</w:t>
      </w:r>
    </w:p>
    <w:p w14:paraId="1D24FFBC"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 xml:space="preserve">As we go along, you will receive copies and information regarding the estate. Please provide affected family members and beneficiaries with updates on a regular basis. In doing so, please make it clear that this firm represents only you. </w:t>
      </w:r>
    </w:p>
    <w:p w14:paraId="1D24FFBD"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We are not now aware of any conflicts that exist or any facts that would create a conflict, although that possibility always exists. If you become aware of any conflict relating to this estate, your service as a fiduciary, or anything affecting our representation, you must call it to our attention.</w:t>
      </w:r>
    </w:p>
    <w:p w14:paraId="1D24FFBE" w14:textId="77777777" w:rsidR="00FF6C23" w:rsidRDefault="00D23CF9" w:rsidP="0045333B">
      <w:pPr>
        <w:pStyle w:val="UserInstructionjustifyhidden"/>
      </w:pPr>
      <w:r>
        <w:t>Include the following paragraph if there will be independent co-executors</w:t>
      </w:r>
      <w:r w:rsidR="00FF6C23">
        <w:t>.</w:t>
      </w:r>
    </w:p>
    <w:p w14:paraId="1D24FFBF" w14:textId="77777777" w:rsidR="00FF6C23" w:rsidRPr="00463468" w:rsidRDefault="00D23CF9" w:rsidP="0045333B">
      <w:pPr>
        <w:pStyle w:val="para"/>
        <w:widowControl/>
        <w:tabs>
          <w:tab w:val="right" w:leader="underscore" w:pos="9000"/>
        </w:tabs>
        <w:spacing w:before="0" w:after="200" w:line="240" w:lineRule="auto"/>
        <w:ind w:firstLine="619"/>
        <w:jc w:val="left"/>
        <w:rPr>
          <w:w w:val="100"/>
          <w:sz w:val="24"/>
          <w:szCs w:val="24"/>
        </w:rPr>
      </w:pPr>
      <w:r w:rsidRPr="00463468">
        <w:rPr>
          <w:w w:val="100"/>
          <w:sz w:val="24"/>
          <w:szCs w:val="24"/>
        </w:rPr>
        <w:t>As independent co-executors, you have joint responsibility for the proper administration of this estate. For this firm to undertake this joint representation, we must insist on full and free disclosure of all information between each of you. Although there is no reason to anticipate disagreement, you may develop differences of opinion over the course of the administration. If actual conflict occurs so that we cannot represent both of you jointly, we are required to withdraw from further joint representation, and each of you then will need to obtain separate legal counsel. Should this occur, payment will be due for all unbilled services and expenses</w:t>
      </w:r>
      <w:r w:rsidR="00FF6C23" w:rsidRPr="00463468">
        <w:rPr>
          <w:w w:val="100"/>
          <w:sz w:val="24"/>
          <w:szCs w:val="24"/>
        </w:rPr>
        <w:t>.</w:t>
      </w:r>
    </w:p>
    <w:p w14:paraId="1D24FFC0" w14:textId="77777777" w:rsidR="00D23CF9" w:rsidRPr="00463468" w:rsidRDefault="00D23CF9" w:rsidP="0045333B">
      <w:pPr>
        <w:pStyle w:val="UserInstructionjustifyhidden"/>
        <w:jc w:val="center"/>
      </w:pPr>
      <w:r>
        <w:t>Continue with the following.</w:t>
      </w:r>
    </w:p>
    <w:p w14:paraId="1D24FFC1"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Please understand that to protect your interests in the event of my death, disability, or retirement, it may be necessary or appropriate for another lawyer or a staff member of this firm, a personal representative (including someone acting under a power of attorney), or another lawyer who is retained by any such person to have access to your file and records in order to contact you to determine appropriate handling of your matters and of your files and to make an appropriate referral (subject to your approval) to other attorneys for future handling. In that regard, you grant permission and waive all privileges solely to the extent necessary or appropriate for those purposes.</w:t>
      </w:r>
    </w:p>
    <w:p w14:paraId="1D24FFC2"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Furthermore, in the event of my death, disability, or retirement, if further services are required in connection with this representation and you engage another lawyer to perform those services, you expressly authorize the division of fees based on the proportion of the work done or responsibilities assumed by this firm and by your new attorney. Such division specifically authorizes the payment of fees and expenses to my estate, personal representatives, and heirs.</w:t>
      </w:r>
    </w:p>
    <w:p w14:paraId="1D24FFC3"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With respect to documents provided by you as well as original documents generated in connection with this representation, those that are not filed with the court will be returned to you. This firm is entitled to retain copies of all such documents as well as all other materials used in connection with the representation. All other documents, including notes and the remaining contents of your file, are attorney work product and are owned by the firm. Of course, during our representation of you and for as long thereafter as we retain any of such items, we will make your files available to you for inspection and copying.</w:t>
      </w:r>
    </w:p>
    <w:p w14:paraId="1D24FFC4"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Please note that we may destroy any of your files at any time with your written consent and, in any event, after one year following written notice to you sent by regular mail to your last known address as reflected in our records. No further notice to you will be required before such destruction.</w:t>
      </w:r>
    </w:p>
    <w:p w14:paraId="1D24FFC5"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Enclosed is a copy of the Texas Lawyer’s Creed. This mandate for professionalism was promulgated by the Supreme Court of Texas and the Texas Court of Criminal Appeals in 1989. All lawyers and members of our staff do our best to adhere to the high standards it sets for the lawyers of Texas. We invite your questions and comments regarding that creed and your perception of our adherence to its objectives.</w:t>
      </w:r>
    </w:p>
    <w:p w14:paraId="1D24FFC6"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We all take seriously our obligation to maintain the highest standards of ethical conduct toward our clients and others. To enforce ethical conduct, the State Bar of Texas investigates and prosecutes complaints of professional misconduct. If you have questions about this process or how to file a complaint, you should contact the office of the State Bar of Texas at 1-800-932-1900 toll-free for more information.</w:t>
      </w:r>
    </w:p>
    <w:p w14:paraId="1D24FFC7" w14:textId="77777777" w:rsidR="00D23CF9"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If the foregoing letter correctly reflects your understanding of our agreement, please sign both copies of this letter, retain one for your files, and return one copy in the enclosed envelope. If you have any questions about the proposed engagement, please contact me as soon as possible. Certainly, you should feel free to consult with another lawyer about the effect of signing this letter.</w:t>
      </w:r>
    </w:p>
    <w:p w14:paraId="1D24FFC8" w14:textId="77777777" w:rsidR="00FF6C23" w:rsidRPr="00463468" w:rsidRDefault="00370C78" w:rsidP="0045333B">
      <w:pPr>
        <w:pStyle w:val="para"/>
        <w:spacing w:before="0" w:after="200" w:line="240" w:lineRule="auto"/>
        <w:jc w:val="left"/>
        <w:rPr>
          <w:w w:val="100"/>
          <w:sz w:val="24"/>
          <w:szCs w:val="24"/>
        </w:rPr>
      </w:pPr>
      <w:r>
        <w:rPr>
          <w:w w:val="100"/>
          <w:sz w:val="24"/>
          <w:szCs w:val="24"/>
        </w:rPr>
        <w:tab/>
      </w:r>
      <w:r w:rsidR="00D23CF9" w:rsidRPr="00463468">
        <w:rPr>
          <w:w w:val="100"/>
          <w:sz w:val="24"/>
          <w:szCs w:val="24"/>
        </w:rPr>
        <w:t>Thank you again for the confidence that you have expressed in me and this firm at this very difficult time. Please call me if you have any questions. Kindest regards.</w:t>
      </w:r>
    </w:p>
    <w:p w14:paraId="1D24FFC9" w14:textId="77777777" w:rsidR="00FF6C23" w:rsidRDefault="00FF6C23" w:rsidP="0045333B">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Yours very truly,</w:t>
      </w:r>
    </w:p>
    <w:p w14:paraId="1D24FFCA" w14:textId="77777777" w:rsidR="00FF6C23" w:rsidRDefault="00FF6C23" w:rsidP="0045333B">
      <w:pPr>
        <w:pStyle w:val="para"/>
        <w:widowControl/>
        <w:tabs>
          <w:tab w:val="left" w:leader="underscore" w:pos="8160"/>
        </w:tabs>
        <w:suppressAutoHyphens/>
        <w:spacing w:before="240" w:after="480" w:line="240" w:lineRule="auto"/>
        <w:ind w:left="4320"/>
        <w:jc w:val="left"/>
        <w:rPr>
          <w:w w:val="100"/>
          <w:sz w:val="24"/>
          <w:szCs w:val="24"/>
        </w:rPr>
      </w:pPr>
      <w:r>
        <w:rPr>
          <w:w w:val="100"/>
          <w:sz w:val="24"/>
          <w:szCs w:val="24"/>
        </w:rPr>
        <w:t>[</w:t>
      </w:r>
      <w:r>
        <w:rPr>
          <w:rFonts w:ascii="Arial" w:hAnsi="Arial" w:cs="Arial"/>
          <w:b/>
          <w:bCs/>
          <w:w w:val="100"/>
        </w:rPr>
        <w:t>Attorney’s name</w:t>
      </w:r>
      <w:r>
        <w:rPr>
          <w:w w:val="100"/>
          <w:sz w:val="24"/>
          <w:szCs w:val="24"/>
        </w:rPr>
        <w:t>]</w:t>
      </w:r>
    </w:p>
    <w:p w14:paraId="1D24FFCB" w14:textId="77777777" w:rsidR="00D23CF9" w:rsidRDefault="00D23CF9" w:rsidP="0045333B">
      <w:pPr>
        <w:pStyle w:val="para"/>
        <w:widowControl/>
        <w:tabs>
          <w:tab w:val="right" w:leader="underscore" w:pos="9000"/>
        </w:tabs>
        <w:spacing w:before="0" w:after="0" w:line="240" w:lineRule="auto"/>
        <w:ind w:left="380" w:hanging="380"/>
        <w:jc w:val="left"/>
        <w:rPr>
          <w:w w:val="100"/>
          <w:sz w:val="24"/>
          <w:szCs w:val="24"/>
        </w:rPr>
      </w:pPr>
      <w:r>
        <w:rPr>
          <w:w w:val="100"/>
          <w:sz w:val="24"/>
          <w:szCs w:val="24"/>
        </w:rPr>
        <w:t>Enclosures</w:t>
      </w:r>
      <w:r>
        <w:rPr>
          <w:w w:val="100"/>
          <w:sz w:val="24"/>
          <w:szCs w:val="24"/>
        </w:rPr>
        <w:br/>
        <w:t>Texas Lawyer</w:t>
      </w:r>
      <w:r w:rsidR="005A548B">
        <w:rPr>
          <w:w w:val="100"/>
          <w:sz w:val="24"/>
          <w:szCs w:val="24"/>
        </w:rPr>
        <w:t>’</w:t>
      </w:r>
      <w:r>
        <w:rPr>
          <w:w w:val="100"/>
          <w:sz w:val="24"/>
          <w:szCs w:val="24"/>
        </w:rPr>
        <w:t>s Creed</w:t>
      </w:r>
    </w:p>
    <w:p w14:paraId="1D24FFCC" w14:textId="77777777" w:rsidR="00D23CF9" w:rsidRDefault="00D23CF9" w:rsidP="0045333B">
      <w:pPr>
        <w:pStyle w:val="para"/>
        <w:widowControl/>
        <w:tabs>
          <w:tab w:val="right" w:leader="underscore" w:pos="9000"/>
        </w:tabs>
        <w:spacing w:before="0" w:after="200" w:line="240" w:lineRule="auto"/>
        <w:ind w:left="380"/>
        <w:jc w:val="left"/>
        <w:rPr>
          <w:w w:val="100"/>
          <w:sz w:val="24"/>
          <w:szCs w:val="24"/>
        </w:rPr>
      </w:pPr>
      <w:r>
        <w:rPr>
          <w:w w:val="100"/>
          <w:sz w:val="24"/>
          <w:szCs w:val="24"/>
        </w:rPr>
        <w:t>Return envelope</w:t>
      </w:r>
    </w:p>
    <w:p w14:paraId="1D24FFCD" w14:textId="77777777" w:rsidR="00D23CF9" w:rsidRDefault="00D23CF9" w:rsidP="0045333B">
      <w:pPr>
        <w:pStyle w:val="para"/>
        <w:widowControl/>
        <w:tabs>
          <w:tab w:val="right" w:leader="underscore" w:pos="9000"/>
        </w:tabs>
        <w:spacing w:before="0" w:after="200" w:line="240" w:lineRule="auto"/>
        <w:ind w:firstLine="620"/>
        <w:jc w:val="left"/>
        <w:rPr>
          <w:w w:val="100"/>
          <w:sz w:val="24"/>
          <w:szCs w:val="24"/>
        </w:rPr>
      </w:pPr>
      <w:r>
        <w:rPr>
          <w:w w:val="100"/>
          <w:sz w:val="24"/>
          <w:szCs w:val="24"/>
        </w:rPr>
        <w:t>The foregoing letter correctly reflects my understanding of our agreement. Dated ________________________.</w:t>
      </w:r>
    </w:p>
    <w:p w14:paraId="1D24FFCE" w14:textId="77777777" w:rsidR="00D23CF9" w:rsidRPr="00C77109" w:rsidRDefault="00D23CF9" w:rsidP="0045333B">
      <w:pPr>
        <w:pStyle w:val="para"/>
        <w:widowControl/>
        <w:tabs>
          <w:tab w:val="left" w:leader="underscore" w:pos="8160"/>
        </w:tabs>
        <w:suppressAutoHyphens/>
        <w:spacing w:before="240" w:after="480" w:line="240" w:lineRule="auto"/>
        <w:ind w:left="4320"/>
        <w:jc w:val="left"/>
        <w:rPr>
          <w:bCs/>
          <w:w w:val="100"/>
          <w:sz w:val="24"/>
        </w:rPr>
      </w:pPr>
      <w:r>
        <w:rPr>
          <w:w w:val="10"/>
          <w:sz w:val="24"/>
          <w:szCs w:val="24"/>
        </w:rPr>
        <w:tab/>
      </w:r>
      <w:r>
        <w:rPr>
          <w:w w:val="10"/>
          <w:sz w:val="24"/>
          <w:szCs w:val="24"/>
        </w:rPr>
        <w:br/>
      </w:r>
      <w:r w:rsidRPr="00AC6731">
        <w:rPr>
          <w:bCs/>
          <w:w w:val="100"/>
          <w:sz w:val="24"/>
        </w:rPr>
        <w:t>[</w:t>
      </w:r>
      <w:r>
        <w:rPr>
          <w:rFonts w:ascii="Arial" w:hAnsi="Arial" w:cs="Arial"/>
          <w:b/>
          <w:bCs/>
          <w:w w:val="100"/>
        </w:rPr>
        <w:t>2.45</w:t>
      </w:r>
      <w:r w:rsidRPr="00AC6731">
        <w:rPr>
          <w:bCs/>
          <w:w w:val="100"/>
          <w:sz w:val="24"/>
        </w:rPr>
        <w:t>]</w:t>
      </w:r>
    </w:p>
    <w:sectPr w:rsidR="00D23CF9" w:rsidRPr="00C77109" w:rsidSect="00FF6C2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4FFD1" w14:textId="77777777" w:rsidR="00FF18F9" w:rsidRDefault="00FF18F9">
      <w:r>
        <w:separator/>
      </w:r>
    </w:p>
  </w:endnote>
  <w:endnote w:type="continuationSeparator" w:id="0">
    <w:p w14:paraId="1D24FFD2" w14:textId="77777777" w:rsidR="00FF18F9" w:rsidRDefault="00FF1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4FFD4"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4FFCF" w14:textId="77777777" w:rsidR="00FF18F9" w:rsidRDefault="00FF18F9">
      <w:r>
        <w:separator/>
      </w:r>
    </w:p>
  </w:footnote>
  <w:footnote w:type="continuationSeparator" w:id="0">
    <w:p w14:paraId="1D24FFD0" w14:textId="77777777" w:rsidR="00FF18F9" w:rsidRDefault="00FF1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4FFD3"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29333145">
    <w:abstractNumId w:val="8"/>
  </w:num>
  <w:num w:numId="2" w16cid:durableId="1058438622">
    <w:abstractNumId w:val="8"/>
  </w:num>
  <w:num w:numId="3" w16cid:durableId="800267160">
    <w:abstractNumId w:val="3"/>
  </w:num>
  <w:num w:numId="4" w16cid:durableId="1210191834">
    <w:abstractNumId w:val="3"/>
  </w:num>
  <w:num w:numId="5" w16cid:durableId="988173407">
    <w:abstractNumId w:val="9"/>
  </w:num>
  <w:num w:numId="6" w16cid:durableId="1203982599">
    <w:abstractNumId w:val="9"/>
  </w:num>
  <w:num w:numId="7" w16cid:durableId="684407599">
    <w:abstractNumId w:val="7"/>
  </w:num>
  <w:num w:numId="8" w16cid:durableId="549027814">
    <w:abstractNumId w:val="7"/>
  </w:num>
  <w:num w:numId="9" w16cid:durableId="795489322">
    <w:abstractNumId w:val="13"/>
  </w:num>
  <w:num w:numId="10" w16cid:durableId="663320939">
    <w:abstractNumId w:val="15"/>
  </w:num>
  <w:num w:numId="11" w16cid:durableId="167672382">
    <w:abstractNumId w:val="8"/>
  </w:num>
  <w:num w:numId="12" w16cid:durableId="634481196">
    <w:abstractNumId w:val="3"/>
  </w:num>
  <w:num w:numId="13" w16cid:durableId="417865683">
    <w:abstractNumId w:val="9"/>
  </w:num>
  <w:num w:numId="14" w16cid:durableId="1266962797">
    <w:abstractNumId w:val="7"/>
  </w:num>
  <w:num w:numId="15" w16cid:durableId="1670056291">
    <w:abstractNumId w:val="6"/>
  </w:num>
  <w:num w:numId="16" w16cid:durableId="1384057698">
    <w:abstractNumId w:val="5"/>
  </w:num>
  <w:num w:numId="17" w16cid:durableId="891431372">
    <w:abstractNumId w:val="4"/>
  </w:num>
  <w:num w:numId="18" w16cid:durableId="938568069">
    <w:abstractNumId w:val="2"/>
  </w:num>
  <w:num w:numId="19" w16cid:durableId="830872209">
    <w:abstractNumId w:val="1"/>
  </w:num>
  <w:num w:numId="20" w16cid:durableId="479736505">
    <w:abstractNumId w:val="0"/>
  </w:num>
  <w:num w:numId="21" w16cid:durableId="159733351">
    <w:abstractNumId w:val="11"/>
  </w:num>
  <w:num w:numId="22" w16cid:durableId="861866794">
    <w:abstractNumId w:val="12"/>
  </w:num>
  <w:num w:numId="23" w16cid:durableId="851652929">
    <w:abstractNumId w:val="14"/>
  </w:num>
  <w:num w:numId="24" w16cid:durableId="188967861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047677851">
    <w:abstractNumId w:val="10"/>
    <w:lvlOverride w:ilvl="0">
      <w:lvl w:ilvl="0">
        <w:start w:val="1"/>
        <w:numFmt w:val="bullet"/>
        <w:lvlText w:val="["/>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114.docx"/>
    <w:docVar w:name="TBBStampDate" w:val="05-14-2026"/>
    <w:docVar w:name="TBBVer" w:val="docx"/>
    <w:docVar w:name="TBBYear" w:val="2026"/>
  </w:docVars>
  <w:rsids>
    <w:rsidRoot w:val="00FF6C23"/>
    <w:rsid w:val="00006704"/>
    <w:rsid w:val="00035105"/>
    <w:rsid w:val="0004285B"/>
    <w:rsid w:val="00055419"/>
    <w:rsid w:val="0005676A"/>
    <w:rsid w:val="00075517"/>
    <w:rsid w:val="000A5288"/>
    <w:rsid w:val="000A6DC7"/>
    <w:rsid w:val="000B0F31"/>
    <w:rsid w:val="000B259E"/>
    <w:rsid w:val="000D0833"/>
    <w:rsid w:val="000D5936"/>
    <w:rsid w:val="000E0362"/>
    <w:rsid w:val="00103258"/>
    <w:rsid w:val="00124EC7"/>
    <w:rsid w:val="001357DF"/>
    <w:rsid w:val="00167635"/>
    <w:rsid w:val="001B4977"/>
    <w:rsid w:val="001C7034"/>
    <w:rsid w:val="001D113B"/>
    <w:rsid w:val="00212AD4"/>
    <w:rsid w:val="0021477A"/>
    <w:rsid w:val="00220537"/>
    <w:rsid w:val="00221D27"/>
    <w:rsid w:val="002733D1"/>
    <w:rsid w:val="002C1959"/>
    <w:rsid w:val="002C211D"/>
    <w:rsid w:val="002C3E97"/>
    <w:rsid w:val="002C456D"/>
    <w:rsid w:val="002D4648"/>
    <w:rsid w:val="002D4815"/>
    <w:rsid w:val="002F3154"/>
    <w:rsid w:val="002F4B1D"/>
    <w:rsid w:val="00300E00"/>
    <w:rsid w:val="003119E6"/>
    <w:rsid w:val="00313D85"/>
    <w:rsid w:val="00320622"/>
    <w:rsid w:val="00370C78"/>
    <w:rsid w:val="00382C39"/>
    <w:rsid w:val="00385003"/>
    <w:rsid w:val="003863F6"/>
    <w:rsid w:val="003864FA"/>
    <w:rsid w:val="00386B7C"/>
    <w:rsid w:val="0039278E"/>
    <w:rsid w:val="00397006"/>
    <w:rsid w:val="00397661"/>
    <w:rsid w:val="003A1D8C"/>
    <w:rsid w:val="003C0B1C"/>
    <w:rsid w:val="003D7347"/>
    <w:rsid w:val="003E1B11"/>
    <w:rsid w:val="00400CA6"/>
    <w:rsid w:val="004031E7"/>
    <w:rsid w:val="00417CAA"/>
    <w:rsid w:val="004217A3"/>
    <w:rsid w:val="00442857"/>
    <w:rsid w:val="0045333B"/>
    <w:rsid w:val="00463468"/>
    <w:rsid w:val="0046632A"/>
    <w:rsid w:val="004A1988"/>
    <w:rsid w:val="004C7340"/>
    <w:rsid w:val="004D7E2D"/>
    <w:rsid w:val="004E343B"/>
    <w:rsid w:val="004F6E30"/>
    <w:rsid w:val="005038A4"/>
    <w:rsid w:val="005140F1"/>
    <w:rsid w:val="00536ABE"/>
    <w:rsid w:val="0054029D"/>
    <w:rsid w:val="00551332"/>
    <w:rsid w:val="00562AB8"/>
    <w:rsid w:val="0056511D"/>
    <w:rsid w:val="00570333"/>
    <w:rsid w:val="00574113"/>
    <w:rsid w:val="00582F0A"/>
    <w:rsid w:val="005906DA"/>
    <w:rsid w:val="005967D5"/>
    <w:rsid w:val="005A2886"/>
    <w:rsid w:val="005A548B"/>
    <w:rsid w:val="005B3021"/>
    <w:rsid w:val="005B4AE9"/>
    <w:rsid w:val="005B683D"/>
    <w:rsid w:val="005C4081"/>
    <w:rsid w:val="00607DAB"/>
    <w:rsid w:val="00614E3F"/>
    <w:rsid w:val="006161C4"/>
    <w:rsid w:val="006213A8"/>
    <w:rsid w:val="00630A0B"/>
    <w:rsid w:val="00637DDF"/>
    <w:rsid w:val="006546C9"/>
    <w:rsid w:val="00662FDF"/>
    <w:rsid w:val="00676127"/>
    <w:rsid w:val="00680E59"/>
    <w:rsid w:val="006959A6"/>
    <w:rsid w:val="006C0869"/>
    <w:rsid w:val="006C1BBF"/>
    <w:rsid w:val="006C2810"/>
    <w:rsid w:val="006D14DF"/>
    <w:rsid w:val="006F6737"/>
    <w:rsid w:val="0070594F"/>
    <w:rsid w:val="00746473"/>
    <w:rsid w:val="00763BF6"/>
    <w:rsid w:val="00767ED8"/>
    <w:rsid w:val="00783A56"/>
    <w:rsid w:val="00795CB0"/>
    <w:rsid w:val="007A39D0"/>
    <w:rsid w:val="007B05EA"/>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467FC"/>
    <w:rsid w:val="008575EE"/>
    <w:rsid w:val="008753C2"/>
    <w:rsid w:val="00877F53"/>
    <w:rsid w:val="008826B2"/>
    <w:rsid w:val="008B2780"/>
    <w:rsid w:val="008B3F1F"/>
    <w:rsid w:val="008D3F7D"/>
    <w:rsid w:val="008D602D"/>
    <w:rsid w:val="008E28B0"/>
    <w:rsid w:val="008F1232"/>
    <w:rsid w:val="008F41A5"/>
    <w:rsid w:val="00903348"/>
    <w:rsid w:val="00937698"/>
    <w:rsid w:val="009518AF"/>
    <w:rsid w:val="00965A52"/>
    <w:rsid w:val="00986BE4"/>
    <w:rsid w:val="00987F56"/>
    <w:rsid w:val="009A2FE8"/>
    <w:rsid w:val="009A7C45"/>
    <w:rsid w:val="009C6567"/>
    <w:rsid w:val="009D367E"/>
    <w:rsid w:val="009E048A"/>
    <w:rsid w:val="009F1B69"/>
    <w:rsid w:val="00A026BD"/>
    <w:rsid w:val="00A0583D"/>
    <w:rsid w:val="00A156B5"/>
    <w:rsid w:val="00A17A2F"/>
    <w:rsid w:val="00A21CE1"/>
    <w:rsid w:val="00A34BDC"/>
    <w:rsid w:val="00A70D25"/>
    <w:rsid w:val="00AA74A2"/>
    <w:rsid w:val="00AB3BCD"/>
    <w:rsid w:val="00AB5F62"/>
    <w:rsid w:val="00AE05F0"/>
    <w:rsid w:val="00AE61F5"/>
    <w:rsid w:val="00AF435D"/>
    <w:rsid w:val="00B12519"/>
    <w:rsid w:val="00B157A8"/>
    <w:rsid w:val="00B15C0D"/>
    <w:rsid w:val="00B17021"/>
    <w:rsid w:val="00B27362"/>
    <w:rsid w:val="00B51E31"/>
    <w:rsid w:val="00B53927"/>
    <w:rsid w:val="00BA13C4"/>
    <w:rsid w:val="00BE2E17"/>
    <w:rsid w:val="00C04F3D"/>
    <w:rsid w:val="00C1069F"/>
    <w:rsid w:val="00C16AEA"/>
    <w:rsid w:val="00C445FE"/>
    <w:rsid w:val="00C53FF7"/>
    <w:rsid w:val="00CA5BD5"/>
    <w:rsid w:val="00CB155D"/>
    <w:rsid w:val="00CC5C2E"/>
    <w:rsid w:val="00CD150A"/>
    <w:rsid w:val="00CF7073"/>
    <w:rsid w:val="00D23CF9"/>
    <w:rsid w:val="00D23F6D"/>
    <w:rsid w:val="00D254E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23D6E"/>
    <w:rsid w:val="00E369B5"/>
    <w:rsid w:val="00E7012A"/>
    <w:rsid w:val="00E8508F"/>
    <w:rsid w:val="00E90259"/>
    <w:rsid w:val="00E95688"/>
    <w:rsid w:val="00EC193B"/>
    <w:rsid w:val="00EF0713"/>
    <w:rsid w:val="00EF3BC1"/>
    <w:rsid w:val="00F1261B"/>
    <w:rsid w:val="00F22B3D"/>
    <w:rsid w:val="00F6777D"/>
    <w:rsid w:val="00F72310"/>
    <w:rsid w:val="00F75F04"/>
    <w:rsid w:val="00F80457"/>
    <w:rsid w:val="00F94ACB"/>
    <w:rsid w:val="00FA26E8"/>
    <w:rsid w:val="00FD58F3"/>
    <w:rsid w:val="00FD5B0C"/>
    <w:rsid w:val="00FF18F9"/>
    <w:rsid w:val="00FF43B6"/>
    <w:rsid w:val="00FF6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24FF95"/>
  <w15:chartTrackingRefBased/>
  <w15:docId w15:val="{9B9A0D1D-80CE-43FD-A0F0-A497AEB13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FF6C23"/>
    <w:rPr>
      <w:sz w:val="24"/>
      <w:szCs w:val="24"/>
    </w:rPr>
  </w:style>
  <w:style w:type="paragraph" w:styleId="Heading1">
    <w:name w:val="heading 1"/>
    <w:basedOn w:val="Normal"/>
    <w:next w:val="Normal"/>
    <w:uiPriority w:val="1"/>
    <w:qFormat/>
    <w:rsid w:val="00FF6C23"/>
    <w:pPr>
      <w:keepNext/>
      <w:spacing w:before="240" w:after="60"/>
      <w:outlineLvl w:val="0"/>
    </w:pPr>
    <w:rPr>
      <w:b/>
      <w:bCs/>
      <w:kern w:val="32"/>
      <w:szCs w:val="32"/>
    </w:rPr>
  </w:style>
  <w:style w:type="paragraph" w:styleId="Heading2">
    <w:name w:val="heading 2"/>
    <w:basedOn w:val="Normal"/>
    <w:next w:val="Normal"/>
    <w:uiPriority w:val="1"/>
    <w:qFormat/>
    <w:rsid w:val="00FF6C23"/>
    <w:pPr>
      <w:keepNext/>
      <w:spacing w:before="240" w:after="60"/>
      <w:outlineLvl w:val="1"/>
    </w:pPr>
    <w:rPr>
      <w:b/>
      <w:bCs/>
      <w:iCs/>
      <w:szCs w:val="28"/>
    </w:rPr>
  </w:style>
  <w:style w:type="paragraph" w:styleId="Heading3">
    <w:name w:val="heading 3"/>
    <w:basedOn w:val="Normal"/>
    <w:next w:val="Normal"/>
    <w:uiPriority w:val="1"/>
    <w:qFormat/>
    <w:rsid w:val="00FF6C23"/>
    <w:pPr>
      <w:spacing w:before="240" w:after="60"/>
      <w:outlineLvl w:val="2"/>
    </w:pPr>
    <w:rPr>
      <w:b/>
      <w:bCs/>
      <w:szCs w:val="26"/>
    </w:rPr>
  </w:style>
  <w:style w:type="paragraph" w:styleId="Heading4">
    <w:name w:val="heading 4"/>
    <w:basedOn w:val="Normal"/>
    <w:next w:val="Normal"/>
    <w:uiPriority w:val="1"/>
    <w:qFormat/>
    <w:rsid w:val="00FF6C23"/>
    <w:pPr>
      <w:spacing w:before="240" w:after="60"/>
      <w:outlineLvl w:val="3"/>
    </w:pPr>
    <w:rPr>
      <w:b/>
      <w:bCs/>
      <w:szCs w:val="28"/>
    </w:rPr>
  </w:style>
  <w:style w:type="paragraph" w:styleId="Heading5">
    <w:name w:val="heading 5"/>
    <w:basedOn w:val="Normal"/>
    <w:next w:val="Normal"/>
    <w:uiPriority w:val="1"/>
    <w:qFormat/>
    <w:rsid w:val="00FF6C23"/>
    <w:pPr>
      <w:spacing w:before="240" w:after="60"/>
      <w:outlineLvl w:val="4"/>
    </w:pPr>
    <w:rPr>
      <w:b/>
      <w:bCs/>
      <w:iCs/>
      <w:szCs w:val="26"/>
    </w:rPr>
  </w:style>
  <w:style w:type="paragraph" w:styleId="Heading6">
    <w:name w:val="heading 6"/>
    <w:basedOn w:val="Normal"/>
    <w:next w:val="Normal"/>
    <w:uiPriority w:val="1"/>
    <w:qFormat/>
    <w:rsid w:val="00FF6C23"/>
    <w:pPr>
      <w:spacing w:before="240" w:after="60"/>
      <w:outlineLvl w:val="5"/>
    </w:pPr>
    <w:rPr>
      <w:b/>
      <w:bCs/>
      <w:szCs w:val="22"/>
    </w:rPr>
  </w:style>
  <w:style w:type="paragraph" w:styleId="Heading7">
    <w:name w:val="heading 7"/>
    <w:basedOn w:val="Normal"/>
    <w:next w:val="Normal"/>
    <w:uiPriority w:val="1"/>
    <w:qFormat/>
    <w:rsid w:val="00FF6C23"/>
    <w:pPr>
      <w:spacing w:before="240" w:after="60"/>
      <w:outlineLvl w:val="6"/>
    </w:pPr>
    <w:rPr>
      <w:b/>
    </w:rPr>
  </w:style>
  <w:style w:type="paragraph" w:styleId="Heading8">
    <w:name w:val="heading 8"/>
    <w:basedOn w:val="Normal"/>
    <w:next w:val="Normal"/>
    <w:uiPriority w:val="1"/>
    <w:qFormat/>
    <w:rsid w:val="00FF6C23"/>
    <w:pPr>
      <w:spacing w:before="240" w:after="60"/>
      <w:outlineLvl w:val="7"/>
    </w:pPr>
    <w:rPr>
      <w:b/>
      <w:iCs/>
    </w:rPr>
  </w:style>
  <w:style w:type="paragraph" w:styleId="Heading9">
    <w:name w:val="heading 9"/>
    <w:basedOn w:val="Normal"/>
    <w:next w:val="Normal"/>
    <w:uiPriority w:val="2"/>
    <w:qFormat/>
    <w:rsid w:val="00FF6C2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FF6C23"/>
    <w:pPr>
      <w:spacing w:after="240"/>
    </w:pPr>
    <w:rPr>
      <w:szCs w:val="20"/>
    </w:rPr>
  </w:style>
  <w:style w:type="paragraph" w:styleId="Quote">
    <w:name w:val="Quote"/>
    <w:basedOn w:val="BodyText"/>
    <w:uiPriority w:val="2"/>
    <w:qFormat/>
    <w:rsid w:val="00FF6C23"/>
    <w:pPr>
      <w:ind w:left="1440" w:right="1440"/>
    </w:pPr>
  </w:style>
  <w:style w:type="paragraph" w:customStyle="1" w:styleId="BodyTextContinued">
    <w:name w:val="Body Text Continued"/>
    <w:basedOn w:val="BodyText"/>
    <w:next w:val="BodyText"/>
    <w:rsid w:val="00FF6C23"/>
  </w:style>
  <w:style w:type="paragraph" w:styleId="TOC1">
    <w:name w:val="toc 1"/>
    <w:basedOn w:val="Normal"/>
    <w:next w:val="Normal"/>
    <w:autoRedefine/>
    <w:uiPriority w:val="2"/>
    <w:rsid w:val="00FF6C2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FF6C2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FF6C2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FF6C2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FF6C2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FF6C2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FF6C2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FF6C2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FF6C2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FF6C23"/>
    <w:pPr>
      <w:numPr>
        <w:numId w:val="9"/>
      </w:numPr>
    </w:pPr>
  </w:style>
  <w:style w:type="paragraph" w:styleId="ListNumber2">
    <w:name w:val="List Number 2"/>
    <w:basedOn w:val="BodyText"/>
    <w:uiPriority w:val="1"/>
    <w:rsid w:val="00FF6C23"/>
    <w:pPr>
      <w:numPr>
        <w:numId w:val="10"/>
      </w:numPr>
    </w:pPr>
  </w:style>
  <w:style w:type="paragraph" w:styleId="ListBullet">
    <w:name w:val="List Bullet"/>
    <w:basedOn w:val="BodyText"/>
    <w:uiPriority w:val="1"/>
    <w:rsid w:val="00FF6C23"/>
    <w:pPr>
      <w:numPr>
        <w:numId w:val="5"/>
      </w:numPr>
      <w:tabs>
        <w:tab w:val="left" w:pos="1440"/>
      </w:tabs>
    </w:pPr>
    <w:rPr>
      <w:szCs w:val="24"/>
    </w:rPr>
  </w:style>
  <w:style w:type="paragraph" w:styleId="ListBullet2">
    <w:name w:val="List Bullet 2"/>
    <w:basedOn w:val="BodyText"/>
    <w:uiPriority w:val="1"/>
    <w:rsid w:val="00FF6C23"/>
    <w:pPr>
      <w:numPr>
        <w:numId w:val="7"/>
      </w:numPr>
      <w:tabs>
        <w:tab w:val="clear" w:pos="1440"/>
        <w:tab w:val="left" w:pos="720"/>
      </w:tabs>
      <w:ind w:left="720"/>
    </w:pPr>
    <w:rPr>
      <w:szCs w:val="24"/>
    </w:rPr>
  </w:style>
  <w:style w:type="paragraph" w:styleId="Header">
    <w:name w:val="header"/>
    <w:basedOn w:val="Normal"/>
    <w:uiPriority w:val="1"/>
    <w:rsid w:val="00FF6C23"/>
    <w:pPr>
      <w:tabs>
        <w:tab w:val="center" w:pos="4680"/>
        <w:tab w:val="right" w:pos="9360"/>
      </w:tabs>
    </w:pPr>
  </w:style>
  <w:style w:type="paragraph" w:styleId="Footer">
    <w:name w:val="footer"/>
    <w:basedOn w:val="Normal"/>
    <w:rsid w:val="00FF6C23"/>
    <w:pPr>
      <w:tabs>
        <w:tab w:val="center" w:pos="4680"/>
        <w:tab w:val="right" w:pos="9360"/>
      </w:tabs>
    </w:pPr>
  </w:style>
  <w:style w:type="table" w:styleId="TableGrid">
    <w:name w:val="Table Grid"/>
    <w:basedOn w:val="TableNormal"/>
    <w:rsid w:val="00FF6C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F6C2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F6C23"/>
    <w:rPr>
      <w:rFonts w:ascii="Times New Roman Bold" w:hAnsi="Times New Roman Bold" w:cs="Arial"/>
      <w:b/>
      <w:vanish/>
      <w:color w:val="FF0000"/>
    </w:rPr>
  </w:style>
  <w:style w:type="paragraph" w:customStyle="1" w:styleId="Formhidden">
    <w:name w:val="Form_hidden"/>
    <w:rsid w:val="00FF6C2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FF6C2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F6C23"/>
    <w:rPr>
      <w:sz w:val="20"/>
      <w:szCs w:val="20"/>
    </w:rPr>
  </w:style>
  <w:style w:type="paragraph" w:customStyle="1" w:styleId="Titlehidden">
    <w:name w:val="Title_hidden"/>
    <w:uiPriority w:val="99"/>
    <w:qFormat/>
    <w:rsid w:val="00FF6C23"/>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FF6C2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F6C2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FF6C2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FF6C2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FF6C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F6C23"/>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FF6C2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FF6C23"/>
    <w:rPr>
      <w:rFonts w:ascii="Arial" w:hAnsi="Arial"/>
      <w:i/>
      <w:vanish/>
      <w:color w:val="FF0000"/>
      <w:szCs w:val="24"/>
    </w:rPr>
  </w:style>
  <w:style w:type="paragraph" w:customStyle="1" w:styleId="MnLevel4hidden">
    <w:name w:val="MnLevel4_hidden"/>
    <w:uiPriority w:val="2"/>
    <w:rsid w:val="00FF6C2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FF6C23"/>
    <w:pPr>
      <w:spacing w:after="240"/>
      <w:ind w:right="5760"/>
    </w:pPr>
    <w:rPr>
      <w:rFonts w:ascii="Arial" w:hAnsi="Arial" w:cs="Arial"/>
      <w:i/>
      <w:vanish/>
      <w:color w:val="FF0000"/>
    </w:rPr>
  </w:style>
  <w:style w:type="paragraph" w:customStyle="1" w:styleId="MnListnhidden">
    <w:name w:val="MnList_n_hidden"/>
    <w:uiPriority w:val="2"/>
    <w:rsid w:val="00FF6C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FF6C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FF6C2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FF6C2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FF6C2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FF6C2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FF6C2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FF6C2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FF6C2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FF6C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F6C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F6C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F6C2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F6C2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F6C2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FF6C2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FF6C23"/>
    <w:rPr>
      <w:vanish/>
      <w:sz w:val="4"/>
      <w:szCs w:val="24"/>
    </w:rPr>
  </w:style>
  <w:style w:type="paragraph" w:customStyle="1" w:styleId="clausetitlehidden">
    <w:name w:val="clause_title_hidden"/>
    <w:basedOn w:val="Normal"/>
    <w:uiPriority w:val="2"/>
    <w:qFormat/>
    <w:rsid w:val="00FF6C23"/>
    <w:pPr>
      <w:spacing w:after="240"/>
      <w:ind w:left="720" w:hanging="720"/>
    </w:pPr>
    <w:rPr>
      <w:i/>
      <w:vanish/>
      <w:color w:val="FF0000"/>
    </w:rPr>
  </w:style>
  <w:style w:type="paragraph" w:customStyle="1" w:styleId="clausenumberhidden">
    <w:name w:val="clause_number_hidden"/>
    <w:basedOn w:val="Normal"/>
    <w:uiPriority w:val="2"/>
    <w:qFormat/>
    <w:rsid w:val="00FF6C23"/>
    <w:pPr>
      <w:spacing w:after="240"/>
    </w:pPr>
    <w:rPr>
      <w:rFonts w:ascii="Arial" w:hAnsi="Arial"/>
      <w:b/>
      <w:i/>
      <w:vanish/>
      <w:color w:val="FF0000"/>
      <w:sz w:val="20"/>
    </w:rPr>
  </w:style>
  <w:style w:type="paragraph" w:customStyle="1" w:styleId="TitleBeforeSubhidden">
    <w:name w:val="TitleBeforeSub_hidden"/>
    <w:uiPriority w:val="2"/>
    <w:qFormat/>
    <w:rsid w:val="00FF6C2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FF6C23"/>
  </w:style>
  <w:style w:type="paragraph" w:customStyle="1" w:styleId="TitleBeforeSub">
    <w:name w:val="TitleBeforeSub"/>
    <w:uiPriority w:val="2"/>
    <w:qFormat/>
    <w:rsid w:val="00FF6C23"/>
    <w:pPr>
      <w:keepNext/>
      <w:widowControl w:val="0"/>
      <w:suppressAutoHyphens/>
      <w:spacing w:line="340" w:lineRule="atLeast"/>
      <w:jc w:val="center"/>
    </w:pPr>
    <w:rPr>
      <w:b/>
      <w:sz w:val="28"/>
      <w:szCs w:val="24"/>
    </w:rPr>
  </w:style>
  <w:style w:type="paragraph" w:customStyle="1" w:styleId="TableAnchor">
    <w:name w:val="TableAnchor"/>
    <w:uiPriority w:val="99"/>
    <w:rsid w:val="00FF6C23"/>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FF6C23"/>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FF6C23"/>
    <w:rPr>
      <w:rFonts w:ascii="Arial" w:hAnsi="Arial" w:cs="Arial"/>
      <w:b/>
      <w:bCs/>
      <w:sz w:val="20"/>
      <w:szCs w:val="20"/>
    </w:rPr>
  </w:style>
  <w:style w:type="character" w:customStyle="1" w:styleId="italic">
    <w:name w:val="italic"/>
    <w:uiPriority w:val="99"/>
    <w:rsid w:val="00D23CF9"/>
    <w:rPr>
      <w:i/>
      <w:iCs/>
      <w:color w:val="000000"/>
      <w:w w:val="100"/>
      <w:lang w:val="en-US"/>
    </w:rPr>
  </w:style>
  <w:style w:type="paragraph" w:styleId="BalloonText">
    <w:name w:val="Balloon Text"/>
    <w:basedOn w:val="Normal"/>
    <w:link w:val="BalloonTextChar"/>
    <w:rsid w:val="00370C78"/>
    <w:rPr>
      <w:rFonts w:ascii="Segoe UI" w:hAnsi="Segoe UI" w:cs="Segoe UI"/>
      <w:sz w:val="18"/>
      <w:szCs w:val="18"/>
    </w:rPr>
  </w:style>
  <w:style w:type="character" w:customStyle="1" w:styleId="BalloonTextChar">
    <w:name w:val="Balloon Text Char"/>
    <w:link w:val="BalloonText"/>
    <w:rsid w:val="00370C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37F100D7-8D15-43C1-B251-2D3613BDB7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59AC918-AAB2-4A72-8B9D-FB2B2BA83463}">
  <ds:schemaRefs>
    <ds:schemaRef ds:uri="http://schemas.microsoft.com/sharepoint/v3/contenttype/forms"/>
  </ds:schemaRefs>
</ds:datastoreItem>
</file>

<file path=customXml/itemProps3.xml><?xml version="1.0" encoding="utf-8"?>
<ds:datastoreItem xmlns:ds="http://schemas.openxmlformats.org/officeDocument/2006/customXml" ds:itemID="{63BD9983-AC5E-4621-B785-487AB4A372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F7BA3-8C46-4BAB-8724-E7B8D113441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2067</Words>
  <Characters>11784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8</cp:revision>
  <cp:lastPrinted>2016-02-04T17:42:00Z</cp:lastPrinted>
  <dcterms:created xsi:type="dcterms:W3CDTF">2021-12-10T16:17:00Z</dcterms:created>
  <dcterms:modified xsi:type="dcterms:W3CDTF">2026-05-14T15:20:00Z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27293200.0000000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