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B0AC41" w14:textId="77777777" w:rsidR="004B2E91" w:rsidRDefault="004B2E91" w:rsidP="00B22B9C">
      <w:pPr>
        <w:pStyle w:val="Formhidden"/>
      </w:pPr>
      <w:bookmarkStart w:id="0" w:name="_GoBack"/>
      <w:bookmarkEnd w:id="0"/>
      <w:r w:rsidRPr="00B22B9C">
        <w:t>Form</w:t>
      </w:r>
      <w:r>
        <w:t xml:space="preserve"> 10-3</w:t>
      </w:r>
    </w:p>
    <w:p w14:paraId="15CD207E" w14:textId="71EA60C3" w:rsidR="00977C50" w:rsidRDefault="004B2E91" w:rsidP="00B22B9C">
      <w:pPr>
        <w:pStyle w:val="Captionhidden"/>
      </w:pPr>
      <w:r>
        <w:t xml:space="preserve">[Caption. See § 3 of </w:t>
      </w:r>
      <w:r w:rsidRPr="00B22B9C">
        <w:t>the</w:t>
      </w:r>
      <w:r>
        <w:t xml:space="preserve"> Introduction in this manual.]</w:t>
      </w:r>
    </w:p>
    <w:p w14:paraId="79644462" w14:textId="77777777" w:rsidR="004B2E91" w:rsidRDefault="004B2E91" w:rsidP="00B22B9C">
      <w:pPr>
        <w:pStyle w:val="Title"/>
      </w:pPr>
      <w:r>
        <w:t xml:space="preserve">Order </w:t>
      </w:r>
      <w:r w:rsidRPr="00B22B9C">
        <w:t>Extending</w:t>
      </w:r>
      <w:r>
        <w:t xml:space="preserve"> Temporary Guardianship Pending Contest</w:t>
      </w:r>
    </w:p>
    <w:p w14:paraId="16A04FCD" w14:textId="77777777" w:rsidR="004B2E91" w:rsidRDefault="004B2E91" w:rsidP="00F34459">
      <w:pPr>
        <w:pStyle w:val="Para"/>
        <w:widowControl/>
        <w:tabs>
          <w:tab w:val="clear" w:pos="9000"/>
        </w:tabs>
        <w:spacing w:line="240" w:lineRule="auto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motion of [</w:t>
      </w:r>
      <w:r>
        <w:rPr>
          <w:rStyle w:val="Substitute"/>
          <w:w w:val="100"/>
        </w:rPr>
        <w:t>name of movant</w:t>
      </w:r>
      <w:r>
        <w:rPr>
          <w:w w:val="100"/>
        </w:rPr>
        <w:t>], temporary guardian of the person and estate of [</w:t>
      </w:r>
      <w:r>
        <w:rPr>
          <w:rStyle w:val="Substitute"/>
          <w:w w:val="100"/>
        </w:rPr>
        <w:t>name of proposed ward</w:t>
      </w:r>
      <w:r>
        <w:rPr>
          <w:w w:val="100"/>
        </w:rPr>
        <w:t xml:space="preserve">], an incapacitated person, to extend the temporary guardianship pending contest pursuant to section </w:t>
      </w:r>
      <w:r w:rsidR="00A22F07">
        <w:rPr>
          <w:w w:val="100"/>
        </w:rPr>
        <w:t>1251.051</w:t>
      </w:r>
      <w:r>
        <w:rPr>
          <w:w w:val="100"/>
        </w:rPr>
        <w:t xml:space="preserve"> of the Texas </w:t>
      </w:r>
      <w:r w:rsidR="00A22F07">
        <w:rPr>
          <w:w w:val="100"/>
        </w:rPr>
        <w:t>Estates</w:t>
      </w:r>
      <w:r>
        <w:rPr>
          <w:w w:val="100"/>
        </w:rPr>
        <w:t xml:space="preserve"> Code. The Court finds that it is necessary to extend the temporary guardianship and that [</w:t>
      </w:r>
      <w:r>
        <w:rPr>
          <w:rStyle w:val="Substitute"/>
          <w:w w:val="100"/>
        </w:rPr>
        <w:t>name of movant</w:t>
      </w:r>
      <w:r>
        <w:rPr>
          <w:w w:val="100"/>
        </w:rPr>
        <w:t>] should remain as temporary guardian of the person and estate of [</w:t>
      </w:r>
      <w:r>
        <w:rPr>
          <w:rStyle w:val="Substitute"/>
          <w:w w:val="100"/>
        </w:rPr>
        <w:t>name of proposed ward</w:t>
      </w:r>
      <w:r>
        <w:rPr>
          <w:w w:val="100"/>
        </w:rPr>
        <w:t>], an incapacitated person.</w:t>
      </w:r>
    </w:p>
    <w:p w14:paraId="1F222A0A" w14:textId="77777777" w:rsidR="004B2E91" w:rsidRDefault="004B2E91" w:rsidP="00F34459">
      <w:pPr>
        <w:pStyle w:val="Para"/>
        <w:widowControl/>
        <w:tabs>
          <w:tab w:val="clear" w:pos="9000"/>
        </w:tabs>
        <w:spacing w:line="240" w:lineRule="auto"/>
        <w:rPr>
          <w:w w:val="100"/>
        </w:rPr>
      </w:pPr>
      <w:r>
        <w:rPr>
          <w:w w:val="100"/>
        </w:rPr>
        <w:t>IT IS THEREFORE ORDERED that [</w:t>
      </w:r>
      <w:r>
        <w:rPr>
          <w:rStyle w:val="Substitute"/>
          <w:w w:val="100"/>
        </w:rPr>
        <w:t>name of movant</w:t>
      </w:r>
      <w:r>
        <w:rPr>
          <w:w w:val="100"/>
        </w:rPr>
        <w:t>] is appointed as temporary guardian of the person and estate of [</w:t>
      </w:r>
      <w:r>
        <w:rPr>
          <w:rStyle w:val="Substitute"/>
          <w:w w:val="100"/>
        </w:rPr>
        <w:t>name of proposed ward</w:t>
      </w:r>
      <w:r>
        <w:rPr>
          <w:w w:val="100"/>
        </w:rPr>
        <w:t xml:space="preserve">] pending contest, pursuant to section </w:t>
      </w:r>
      <w:r w:rsidR="00A22F07">
        <w:rPr>
          <w:w w:val="100"/>
        </w:rPr>
        <w:t>1251.051</w:t>
      </w:r>
      <w:r>
        <w:rPr>
          <w:w w:val="100"/>
        </w:rPr>
        <w:t xml:space="preserve"> of the Texas </w:t>
      </w:r>
      <w:r w:rsidR="00A22F07">
        <w:rPr>
          <w:w w:val="100"/>
        </w:rPr>
        <w:t>Estates</w:t>
      </w:r>
      <w:r>
        <w:rPr>
          <w:w w:val="100"/>
        </w:rPr>
        <w:t xml:space="preserve"> Code.</w:t>
      </w:r>
    </w:p>
    <w:p w14:paraId="7CB38ECE" w14:textId="77777777" w:rsidR="004B2E91" w:rsidRDefault="004B2E91" w:rsidP="00F34459">
      <w:pPr>
        <w:pStyle w:val="Para"/>
        <w:widowControl/>
        <w:tabs>
          <w:tab w:val="clear" w:pos="9000"/>
        </w:tabs>
        <w:spacing w:line="240" w:lineRule="auto"/>
        <w:rPr>
          <w:w w:val="100"/>
        </w:rPr>
      </w:pPr>
      <w:r>
        <w:rPr>
          <w:w w:val="100"/>
        </w:rPr>
        <w:t>IT IS FURTHER ORDERED that the temporary guardian shall have the limited powers—</w:t>
      </w:r>
    </w:p>
    <w:p w14:paraId="0F7A787D" w14:textId="033BADEA" w:rsidR="004B2E91" w:rsidRDefault="00B22B9C" w:rsidP="00F34459">
      <w:pPr>
        <w:pStyle w:val="StepalphaDotHang1st"/>
        <w:widowControl/>
        <w:tabs>
          <w:tab w:val="clear" w:pos="2160"/>
        </w:tabs>
        <w:spacing w:line="240" w:lineRule="auto"/>
        <w:ind w:left="0" w:firstLine="720"/>
        <w:rPr>
          <w:w w:val="100"/>
        </w:rPr>
      </w:pPr>
      <w:r>
        <w:rPr>
          <w:w w:val="100"/>
        </w:rPr>
        <w:t>1</w:t>
      </w:r>
      <w:r w:rsidR="004B2E91">
        <w:rPr>
          <w:w w:val="100"/>
        </w:rPr>
        <w:t>.</w:t>
      </w:r>
      <w:r w:rsidR="004B2E91">
        <w:rPr>
          <w:w w:val="100"/>
        </w:rPr>
        <w:tab/>
        <w:t>to take control of [</w:t>
      </w:r>
      <w:r w:rsidR="004B2E91">
        <w:rPr>
          <w:rStyle w:val="Substitute"/>
          <w:w w:val="100"/>
        </w:rPr>
        <w:t>name of proposed ward</w:t>
      </w:r>
      <w:r w:rsidR="004B2E91">
        <w:rPr>
          <w:w w:val="100"/>
        </w:rPr>
        <w:t>]’s financial affairs to determine the status and extent of [his/her] assets;</w:t>
      </w:r>
    </w:p>
    <w:p w14:paraId="686D0C6E" w14:textId="3CE93DF3" w:rsidR="004B2E91" w:rsidRDefault="00B22B9C" w:rsidP="00F34459">
      <w:pPr>
        <w:pStyle w:val="StepalphaDotHang"/>
        <w:widowControl/>
        <w:tabs>
          <w:tab w:val="clear" w:pos="2160"/>
        </w:tabs>
        <w:spacing w:line="240" w:lineRule="auto"/>
        <w:ind w:left="0" w:firstLine="720"/>
        <w:rPr>
          <w:w w:val="100"/>
        </w:rPr>
      </w:pPr>
      <w:r>
        <w:rPr>
          <w:w w:val="100"/>
        </w:rPr>
        <w:t>2</w:t>
      </w:r>
      <w:r w:rsidR="004B2E91">
        <w:rPr>
          <w:w w:val="100"/>
        </w:rPr>
        <w:t>.</w:t>
      </w:r>
      <w:r w:rsidR="004B2E91">
        <w:rPr>
          <w:w w:val="100"/>
        </w:rPr>
        <w:tab/>
        <w:t>to take possession of [</w:t>
      </w:r>
      <w:r w:rsidR="004B2E91">
        <w:rPr>
          <w:rStyle w:val="Substitute"/>
          <w:w w:val="100"/>
        </w:rPr>
        <w:t>name of proposed ward</w:t>
      </w:r>
      <w:r w:rsidR="004B2E91">
        <w:rPr>
          <w:w w:val="100"/>
        </w:rPr>
        <w:t>]’s assets and financial documents wherever located, including the contents of [his/her] safe-deposit boxes;</w:t>
      </w:r>
    </w:p>
    <w:p w14:paraId="3A82BA91" w14:textId="50CC3104" w:rsidR="004B2E91" w:rsidRDefault="00B22B9C" w:rsidP="00F34459">
      <w:pPr>
        <w:pStyle w:val="StepalphaDotHang"/>
        <w:widowControl/>
        <w:tabs>
          <w:tab w:val="clear" w:pos="2160"/>
        </w:tabs>
        <w:spacing w:line="240" w:lineRule="auto"/>
        <w:ind w:left="0" w:firstLine="720"/>
        <w:rPr>
          <w:w w:val="100"/>
        </w:rPr>
      </w:pPr>
      <w:r>
        <w:rPr>
          <w:w w:val="100"/>
        </w:rPr>
        <w:t>3</w:t>
      </w:r>
      <w:r w:rsidR="004B2E91">
        <w:rPr>
          <w:w w:val="100"/>
        </w:rPr>
        <w:t>.</w:t>
      </w:r>
      <w:r w:rsidR="004B2E91">
        <w:rPr>
          <w:w w:val="100"/>
        </w:rPr>
        <w:tab/>
        <w:t>to collect the proceeds of any insurance policies, any annuity, contracts, and Social Security proceeds that are owed to [</w:t>
      </w:r>
      <w:r w:rsidR="004B2E91">
        <w:rPr>
          <w:rStyle w:val="Substitute"/>
          <w:w w:val="100"/>
        </w:rPr>
        <w:t>name of proposed ward</w:t>
      </w:r>
      <w:r w:rsidR="004B2E91">
        <w:rPr>
          <w:w w:val="100"/>
        </w:rPr>
        <w:t>];</w:t>
      </w:r>
    </w:p>
    <w:p w14:paraId="443C2803" w14:textId="2C1F3F58" w:rsidR="004B2E91" w:rsidRDefault="00B22B9C" w:rsidP="00F34459">
      <w:pPr>
        <w:pStyle w:val="StepalphaDotHang"/>
        <w:widowControl/>
        <w:tabs>
          <w:tab w:val="clear" w:pos="2160"/>
        </w:tabs>
        <w:spacing w:line="240" w:lineRule="auto"/>
        <w:ind w:left="0" w:firstLine="720"/>
        <w:rPr>
          <w:w w:val="100"/>
        </w:rPr>
      </w:pPr>
      <w:r>
        <w:rPr>
          <w:w w:val="100"/>
        </w:rPr>
        <w:t>4</w:t>
      </w:r>
      <w:r w:rsidR="004B2E91">
        <w:rPr>
          <w:w w:val="100"/>
        </w:rPr>
        <w:t>.</w:t>
      </w:r>
      <w:r w:rsidR="004B2E91">
        <w:rPr>
          <w:w w:val="100"/>
        </w:rPr>
        <w:tab/>
        <w:t>to file any necessary income tax return for [</w:t>
      </w:r>
      <w:r w:rsidR="004B2E91">
        <w:rPr>
          <w:rStyle w:val="Substitute"/>
          <w:w w:val="100"/>
        </w:rPr>
        <w:t>name of proposed ward</w:t>
      </w:r>
      <w:r w:rsidR="004B2E91">
        <w:rPr>
          <w:w w:val="100"/>
        </w:rPr>
        <w:t>] during the temporary guardianship and to pay any income taxes owed and to prepare and file any inventories (and any other reports) in any Court having jurisdiction of [</w:t>
      </w:r>
      <w:r w:rsidR="004B2E91">
        <w:rPr>
          <w:rStyle w:val="Substitute"/>
          <w:w w:val="100"/>
        </w:rPr>
        <w:t>name of proposed ward</w:t>
      </w:r>
      <w:r w:rsidR="004B2E91">
        <w:rPr>
          <w:w w:val="100"/>
        </w:rPr>
        <w:t>]’s estate or in connection with those tax returns;</w:t>
      </w:r>
    </w:p>
    <w:p w14:paraId="52D7E50A" w14:textId="05E34B51" w:rsidR="004B2E91" w:rsidRDefault="00B22B9C" w:rsidP="00F34459">
      <w:pPr>
        <w:pStyle w:val="StepalphaDotHang"/>
        <w:widowControl/>
        <w:tabs>
          <w:tab w:val="clear" w:pos="2160"/>
        </w:tabs>
        <w:spacing w:line="240" w:lineRule="auto"/>
        <w:ind w:left="0" w:firstLine="720"/>
        <w:rPr>
          <w:w w:val="100"/>
        </w:rPr>
      </w:pPr>
      <w:r>
        <w:rPr>
          <w:w w:val="100"/>
        </w:rPr>
        <w:t>5</w:t>
      </w:r>
      <w:r w:rsidR="004B2E91">
        <w:rPr>
          <w:w w:val="100"/>
        </w:rPr>
        <w:t>.</w:t>
      </w:r>
      <w:r w:rsidR="004B2E91">
        <w:rPr>
          <w:w w:val="100"/>
        </w:rPr>
        <w:tab/>
        <w:t>to pay all ad valorem taxes owed by [</w:t>
      </w:r>
      <w:r w:rsidR="004B2E91">
        <w:rPr>
          <w:rStyle w:val="Substitute"/>
          <w:w w:val="100"/>
        </w:rPr>
        <w:t>name of proposed ward</w:t>
      </w:r>
      <w:r w:rsidR="004B2E91">
        <w:rPr>
          <w:w w:val="100"/>
        </w:rPr>
        <w:t>]; and</w:t>
      </w:r>
    </w:p>
    <w:p w14:paraId="3F7A8454" w14:textId="077A5D53" w:rsidR="004B2E91" w:rsidRDefault="00B22B9C" w:rsidP="00F34459">
      <w:pPr>
        <w:pStyle w:val="StepalphaDotHang"/>
        <w:widowControl/>
        <w:tabs>
          <w:tab w:val="clear" w:pos="2160"/>
        </w:tabs>
        <w:spacing w:line="240" w:lineRule="auto"/>
        <w:ind w:left="0" w:firstLine="720"/>
        <w:rPr>
          <w:w w:val="100"/>
        </w:rPr>
      </w:pPr>
      <w:r>
        <w:rPr>
          <w:w w:val="100"/>
        </w:rPr>
        <w:t>6</w:t>
      </w:r>
      <w:r w:rsidR="004B2E91">
        <w:rPr>
          <w:w w:val="100"/>
        </w:rPr>
        <w:t>.</w:t>
      </w:r>
      <w:r w:rsidR="004B2E91">
        <w:rPr>
          <w:w w:val="100"/>
        </w:rPr>
        <w:tab/>
        <w:t>to make expenditures to protect [</w:t>
      </w:r>
      <w:r w:rsidR="004B2E91">
        <w:rPr>
          <w:rStyle w:val="Substitute"/>
          <w:w w:val="100"/>
        </w:rPr>
        <w:t>name of proposed ward</w:t>
      </w:r>
      <w:r w:rsidR="004B2E91">
        <w:rPr>
          <w:w w:val="100"/>
        </w:rPr>
        <w:t>]’s property and to apply to this Court for authority to pay from funds of [</w:t>
      </w:r>
      <w:r w:rsidR="004B2E91">
        <w:rPr>
          <w:rStyle w:val="Substitute"/>
          <w:w w:val="100"/>
        </w:rPr>
        <w:t>name of proposed ward</w:t>
      </w:r>
      <w:r w:rsidR="004B2E91">
        <w:rPr>
          <w:w w:val="100"/>
        </w:rPr>
        <w:t>]’s estate expenses of the temporary guardianship.</w:t>
      </w:r>
    </w:p>
    <w:p w14:paraId="5A33603B" w14:textId="77777777" w:rsidR="004B2E91" w:rsidRDefault="004B2E91" w:rsidP="00F34459">
      <w:pPr>
        <w:pStyle w:val="Para"/>
        <w:widowControl/>
        <w:tabs>
          <w:tab w:val="clear" w:pos="9000"/>
        </w:tabs>
        <w:spacing w:line="240" w:lineRule="auto"/>
        <w:rPr>
          <w:w w:val="100"/>
        </w:rPr>
      </w:pPr>
      <w:r>
        <w:rPr>
          <w:w w:val="100"/>
        </w:rPr>
        <w:t>IT IS FURTHER ORDERED that the temporary guardian shall have the powers and authority—</w:t>
      </w:r>
    </w:p>
    <w:p w14:paraId="7FFFAFD7" w14:textId="471DAF32" w:rsidR="004B2E91" w:rsidRDefault="00B22B9C" w:rsidP="00F34459">
      <w:pPr>
        <w:pStyle w:val="StepalphaDotHang1st"/>
        <w:widowControl/>
        <w:tabs>
          <w:tab w:val="clear" w:pos="2160"/>
        </w:tabs>
        <w:spacing w:line="240" w:lineRule="auto"/>
        <w:ind w:left="0" w:firstLine="720"/>
        <w:rPr>
          <w:w w:val="100"/>
        </w:rPr>
      </w:pPr>
      <w:r>
        <w:rPr>
          <w:w w:val="100"/>
        </w:rPr>
        <w:t>1</w:t>
      </w:r>
      <w:r w:rsidR="004B2E91">
        <w:rPr>
          <w:w w:val="100"/>
        </w:rPr>
        <w:t>.</w:t>
      </w:r>
      <w:r w:rsidR="004B2E91">
        <w:rPr>
          <w:w w:val="100"/>
        </w:rPr>
        <w:tab/>
        <w:t>to make medical decisions and engage the services of any medical care providers for the care and benefit of [</w:t>
      </w:r>
      <w:r w:rsidR="004B2E91">
        <w:rPr>
          <w:rStyle w:val="Substitute"/>
          <w:w w:val="100"/>
        </w:rPr>
        <w:t>name of proposed ward</w:t>
      </w:r>
      <w:r w:rsidR="004B2E91">
        <w:rPr>
          <w:w w:val="100"/>
        </w:rPr>
        <w:t xml:space="preserve">], as allowed by the Texas </w:t>
      </w:r>
      <w:r w:rsidR="00A22F07">
        <w:rPr>
          <w:w w:val="100"/>
        </w:rPr>
        <w:t>Estates Code</w:t>
      </w:r>
      <w:r w:rsidR="004B2E91">
        <w:rPr>
          <w:w w:val="100"/>
        </w:rPr>
        <w:t>[./; and]</w:t>
      </w:r>
    </w:p>
    <w:p w14:paraId="0F09C757" w14:textId="77777777" w:rsidR="004B2E91" w:rsidRDefault="004B2E91" w:rsidP="00B22B9C">
      <w:pPr>
        <w:pStyle w:val="UserInstructioncenterhidden"/>
      </w:pPr>
      <w:r>
        <w:lastRenderedPageBreak/>
        <w:t xml:space="preserve">Include the following if </w:t>
      </w:r>
      <w:r w:rsidRPr="00B22B9C">
        <w:t>applicable</w:t>
      </w:r>
      <w:r>
        <w:t>.</w:t>
      </w:r>
    </w:p>
    <w:p w14:paraId="05310E61" w14:textId="4727E0DD" w:rsidR="004B2E91" w:rsidRDefault="00B22B9C" w:rsidP="00B22B9C">
      <w:pPr>
        <w:pStyle w:val="StepalphaDotHang"/>
        <w:widowControl/>
        <w:tabs>
          <w:tab w:val="clear" w:pos="2160"/>
        </w:tabs>
        <w:spacing w:line="240" w:lineRule="auto"/>
        <w:ind w:left="0" w:firstLine="720"/>
        <w:rPr>
          <w:w w:val="100"/>
        </w:rPr>
      </w:pPr>
      <w:r>
        <w:rPr>
          <w:w w:val="100"/>
        </w:rPr>
        <w:t>2</w:t>
      </w:r>
      <w:r w:rsidR="004B2E91">
        <w:rPr>
          <w:w w:val="100"/>
        </w:rPr>
        <w:t>.</w:t>
      </w:r>
      <w:r w:rsidR="004B2E91">
        <w:rPr>
          <w:w w:val="100"/>
        </w:rPr>
        <w:tab/>
        <w:t>to provide food, clothing, and shelter for [</w:t>
      </w:r>
      <w:r w:rsidR="004B2E91">
        <w:rPr>
          <w:rStyle w:val="Substitute"/>
          <w:w w:val="100"/>
        </w:rPr>
        <w:t>name of proposed ward</w:t>
      </w:r>
      <w:r w:rsidR="004B2E91">
        <w:rPr>
          <w:w w:val="100"/>
        </w:rPr>
        <w:t>], including arranging for care at [</w:t>
      </w:r>
      <w:r w:rsidR="004B2E91">
        <w:rPr>
          <w:rStyle w:val="Substitute"/>
          <w:w w:val="100"/>
        </w:rPr>
        <w:t>name of nursing facility</w:t>
      </w:r>
      <w:r w:rsidR="004B2E91">
        <w:rPr>
          <w:w w:val="100"/>
        </w:rPr>
        <w:t>].</w:t>
      </w:r>
    </w:p>
    <w:p w14:paraId="46015470" w14:textId="77777777" w:rsidR="004B2E91" w:rsidRDefault="004B2E91" w:rsidP="00B22B9C">
      <w:pPr>
        <w:pStyle w:val="UserInstructioncenterhidden"/>
      </w:pPr>
      <w:r w:rsidRPr="00B22B9C">
        <w:t>Continue</w:t>
      </w:r>
      <w:r>
        <w:t xml:space="preserve"> with the following.</w:t>
      </w:r>
    </w:p>
    <w:p w14:paraId="3C11252E" w14:textId="77777777" w:rsidR="004B2E91" w:rsidRDefault="004B2E91" w:rsidP="00B22B9C">
      <w:pPr>
        <w:pStyle w:val="Para"/>
        <w:widowControl/>
        <w:tabs>
          <w:tab w:val="clear" w:pos="9000"/>
        </w:tabs>
        <w:spacing w:line="240" w:lineRule="auto"/>
        <w:rPr>
          <w:w w:val="100"/>
        </w:rPr>
      </w:pPr>
      <w:r>
        <w:rPr>
          <w:w w:val="100"/>
        </w:rPr>
        <w:t>IT IS FURTHER ORDERED that [</w:t>
      </w:r>
      <w:r>
        <w:rPr>
          <w:rStyle w:val="Substitute"/>
          <w:w w:val="100"/>
        </w:rPr>
        <w:t>name of movant</w:t>
      </w:r>
      <w:r>
        <w:rPr>
          <w:w w:val="100"/>
        </w:rPr>
        <w:t>]’s bond as temporary guardian of the person and estate of [</w:t>
      </w:r>
      <w:r>
        <w:rPr>
          <w:rStyle w:val="Substitute"/>
          <w:w w:val="100"/>
        </w:rPr>
        <w:t>name of proposed ward</w:t>
      </w:r>
      <w:r>
        <w:rPr>
          <w:w w:val="100"/>
        </w:rPr>
        <w:t>] shall remain in effect during the pending contest.</w:t>
      </w:r>
    </w:p>
    <w:p w14:paraId="78CC1D0A" w14:textId="77777777" w:rsidR="001E1BA0" w:rsidRDefault="001E1BA0" w:rsidP="00B22B9C">
      <w:pPr>
        <w:pStyle w:val="SignBlockFlush"/>
        <w:widowControl/>
        <w:tabs>
          <w:tab w:val="clear" w:pos="4320"/>
        </w:tabs>
        <w:suppressAutoHyphens/>
        <w:spacing w:before="480" w:after="240"/>
        <w:ind w:right="0"/>
      </w:pPr>
      <w:r>
        <w:t>SIGNED on _________________________.</w:t>
      </w:r>
    </w:p>
    <w:p w14:paraId="498305D6" w14:textId="77777777" w:rsidR="004B2E91" w:rsidRDefault="004B2E91" w:rsidP="00B22B9C">
      <w:pPr>
        <w:pStyle w:val="SignBlock"/>
        <w:widowControl/>
        <w:suppressAutoHyphens/>
        <w:spacing w:before="480"/>
      </w:pPr>
      <w:r>
        <w:tab/>
      </w:r>
    </w:p>
    <w:p w14:paraId="4283D0AA" w14:textId="77777777" w:rsidR="004B2E91" w:rsidRDefault="004B2E91">
      <w:pPr>
        <w:pStyle w:val="SignItemLast"/>
      </w:pPr>
      <w:r>
        <w:t>JUDGE PRESIDING</w:t>
      </w:r>
    </w:p>
    <w:p w14:paraId="55E8CF24" w14:textId="77777777" w:rsidR="004B2E91" w:rsidRDefault="004B2E91" w:rsidP="00B22B9C">
      <w:pPr>
        <w:pStyle w:val="SignItemLast"/>
        <w:widowControl/>
        <w:suppressAutoHyphens/>
        <w:spacing w:before="480"/>
      </w:pPr>
      <w:r>
        <w:t>APPROVED:</w:t>
      </w:r>
    </w:p>
    <w:p w14:paraId="5F5F798F" w14:textId="77777777" w:rsidR="004B2E91" w:rsidRDefault="004B2E91" w:rsidP="00B22B9C">
      <w:pPr>
        <w:pStyle w:val="SignBlock"/>
        <w:widowControl/>
        <w:suppressAutoHyphens/>
        <w:spacing w:before="480"/>
      </w:pPr>
      <w:r>
        <w:tab/>
      </w:r>
    </w:p>
    <w:p w14:paraId="6CC748D9" w14:textId="77777777" w:rsidR="004B2E91" w:rsidRDefault="004B2E91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3442AE3C" w14:textId="77777777" w:rsidR="004B2E91" w:rsidRDefault="004B2E91">
      <w:pPr>
        <w:pStyle w:val="SignItem"/>
      </w:pPr>
      <w:r>
        <w:t>Attorney for Movant</w:t>
      </w:r>
    </w:p>
    <w:p w14:paraId="7D2301F2" w14:textId="77777777" w:rsidR="004B2E91" w:rsidRDefault="004B2E91">
      <w:pPr>
        <w:pStyle w:val="SignItem"/>
      </w:pPr>
      <w:r>
        <w:t>State Bar No.:</w:t>
      </w:r>
    </w:p>
    <w:p w14:paraId="430E8C10" w14:textId="77777777" w:rsidR="00A22F07" w:rsidRDefault="00A22F07" w:rsidP="00A22F07">
      <w:pPr>
        <w:pStyle w:val="SignItem"/>
      </w:pPr>
      <w:r>
        <w:t>[</w:t>
      </w:r>
      <w:r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20201210" w14:textId="77777777" w:rsidR="004B2E91" w:rsidRDefault="004B2E91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0961B7E6" w14:textId="77777777" w:rsidR="004B2E91" w:rsidRDefault="004B2E91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04D89BFE" w14:textId="77777777" w:rsidR="004B2E91" w:rsidRDefault="004B2E91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04E523E9" w14:textId="77777777" w:rsidR="00E85352" w:rsidRDefault="00E85352" w:rsidP="00937698"/>
    <w:sectPr w:rsidR="00E85352" w:rsidSect="004B2E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2D32E1" w14:textId="77777777" w:rsidR="00EC1122" w:rsidRDefault="00EC1122">
      <w:r>
        <w:separator/>
      </w:r>
    </w:p>
  </w:endnote>
  <w:endnote w:type="continuationSeparator" w:id="0">
    <w:p w14:paraId="76A1ABFE" w14:textId="77777777" w:rsidR="00EC1122" w:rsidRDefault="00EC1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C5A53A" w14:textId="77777777" w:rsidR="00EC1122" w:rsidRDefault="00EC1122">
      <w:r>
        <w:separator/>
      </w:r>
    </w:p>
  </w:footnote>
  <w:footnote w:type="continuationSeparator" w:id="0">
    <w:p w14:paraId="1671E6DA" w14:textId="77777777" w:rsidR="00EC1122" w:rsidRDefault="00EC11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0ACC7A6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CEAA63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2B468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7A0A5FA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89203F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8C28CE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705606F8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10-3.docx"/>
    <w:docVar w:name="TBBStampDate" w:val="09-18-2022"/>
    <w:docVar w:name="TBBVer" w:val=".docx"/>
    <w:docVar w:name="TBBYear" w:val="2022"/>
  </w:docVars>
  <w:rsids>
    <w:rsidRoot w:val="00BE3171"/>
    <w:rsid w:val="00006704"/>
    <w:rsid w:val="00035105"/>
    <w:rsid w:val="00055419"/>
    <w:rsid w:val="00067DE7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37416"/>
    <w:rsid w:val="00167635"/>
    <w:rsid w:val="001B4977"/>
    <w:rsid w:val="001C7034"/>
    <w:rsid w:val="001D113B"/>
    <w:rsid w:val="001D63C3"/>
    <w:rsid w:val="001E1BA0"/>
    <w:rsid w:val="00212AD4"/>
    <w:rsid w:val="00220537"/>
    <w:rsid w:val="00221D27"/>
    <w:rsid w:val="00247DAA"/>
    <w:rsid w:val="002733D1"/>
    <w:rsid w:val="002C1959"/>
    <w:rsid w:val="002C211D"/>
    <w:rsid w:val="002C3E97"/>
    <w:rsid w:val="002C456D"/>
    <w:rsid w:val="002D4648"/>
    <w:rsid w:val="002D4815"/>
    <w:rsid w:val="002F4B1D"/>
    <w:rsid w:val="002F597F"/>
    <w:rsid w:val="00300E00"/>
    <w:rsid w:val="003119E6"/>
    <w:rsid w:val="003203C3"/>
    <w:rsid w:val="00320622"/>
    <w:rsid w:val="00366CF5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3F5954"/>
    <w:rsid w:val="00417CAA"/>
    <w:rsid w:val="004217A3"/>
    <w:rsid w:val="0046632A"/>
    <w:rsid w:val="004A1988"/>
    <w:rsid w:val="004B2E91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D0138"/>
    <w:rsid w:val="00607DAB"/>
    <w:rsid w:val="006161C4"/>
    <w:rsid w:val="006213A8"/>
    <w:rsid w:val="00630A0B"/>
    <w:rsid w:val="00647487"/>
    <w:rsid w:val="006546C9"/>
    <w:rsid w:val="00662FDF"/>
    <w:rsid w:val="00676127"/>
    <w:rsid w:val="00680E59"/>
    <w:rsid w:val="006959A6"/>
    <w:rsid w:val="006B53F2"/>
    <w:rsid w:val="006C0869"/>
    <w:rsid w:val="006C1BBF"/>
    <w:rsid w:val="006C2810"/>
    <w:rsid w:val="006D0D58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4145A"/>
    <w:rsid w:val="008575EE"/>
    <w:rsid w:val="00877F53"/>
    <w:rsid w:val="008B3F1F"/>
    <w:rsid w:val="008D3F7D"/>
    <w:rsid w:val="008D4FEE"/>
    <w:rsid w:val="008D602D"/>
    <w:rsid w:val="008F41A5"/>
    <w:rsid w:val="00903348"/>
    <w:rsid w:val="00937698"/>
    <w:rsid w:val="009518AF"/>
    <w:rsid w:val="00965A52"/>
    <w:rsid w:val="00977C50"/>
    <w:rsid w:val="009859CC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22F07"/>
    <w:rsid w:val="00AA18E2"/>
    <w:rsid w:val="00AA74A2"/>
    <w:rsid w:val="00AB3BCD"/>
    <w:rsid w:val="00AE05F0"/>
    <w:rsid w:val="00AE61F5"/>
    <w:rsid w:val="00B0218B"/>
    <w:rsid w:val="00B12519"/>
    <w:rsid w:val="00B157A8"/>
    <w:rsid w:val="00B15C0D"/>
    <w:rsid w:val="00B17021"/>
    <w:rsid w:val="00B22B9C"/>
    <w:rsid w:val="00B53927"/>
    <w:rsid w:val="00BA13C4"/>
    <w:rsid w:val="00BE2E17"/>
    <w:rsid w:val="00BE3171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409A"/>
    <w:rsid w:val="00D47494"/>
    <w:rsid w:val="00D562D6"/>
    <w:rsid w:val="00D73C9C"/>
    <w:rsid w:val="00D93A2E"/>
    <w:rsid w:val="00D94635"/>
    <w:rsid w:val="00D957EF"/>
    <w:rsid w:val="00D96D86"/>
    <w:rsid w:val="00DA05D8"/>
    <w:rsid w:val="00DB22E2"/>
    <w:rsid w:val="00DB48F2"/>
    <w:rsid w:val="00DC4601"/>
    <w:rsid w:val="00DE4AF3"/>
    <w:rsid w:val="00DF03FF"/>
    <w:rsid w:val="00DF64BF"/>
    <w:rsid w:val="00E17361"/>
    <w:rsid w:val="00E377FF"/>
    <w:rsid w:val="00E7012A"/>
    <w:rsid w:val="00E8508F"/>
    <w:rsid w:val="00E85352"/>
    <w:rsid w:val="00E90259"/>
    <w:rsid w:val="00E95688"/>
    <w:rsid w:val="00EC0D07"/>
    <w:rsid w:val="00EC1122"/>
    <w:rsid w:val="00EF0713"/>
    <w:rsid w:val="00EF3BC1"/>
    <w:rsid w:val="00F06181"/>
    <w:rsid w:val="00F1261B"/>
    <w:rsid w:val="00F22B3D"/>
    <w:rsid w:val="00F34459"/>
    <w:rsid w:val="00F4216C"/>
    <w:rsid w:val="00F6777D"/>
    <w:rsid w:val="00F72310"/>
    <w:rsid w:val="00F75F04"/>
    <w:rsid w:val="00F94ACB"/>
    <w:rsid w:val="00FA435F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379C7C"/>
  <w15:chartTrackingRefBased/>
  <w15:docId w15:val="{798BE822-D3C2-4C3D-8878-25C56FA71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4B2E91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4B2E91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4B2E91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4B2E91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4B2E91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4B2E91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4B2E91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4B2E91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4B2E91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4B2E91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B2E91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4B2E91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B2E91"/>
  </w:style>
  <w:style w:type="paragraph" w:styleId="TOC1">
    <w:name w:val="toc 1"/>
    <w:basedOn w:val="Normal"/>
    <w:next w:val="Normal"/>
    <w:autoRedefine/>
    <w:uiPriority w:val="2"/>
    <w:rsid w:val="004B2E91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4B2E91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4B2E91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4B2E91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4B2E91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4B2E91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4B2E91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4B2E91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4B2E91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4B2E91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4B2E91"/>
    <w:pPr>
      <w:numPr>
        <w:numId w:val="10"/>
      </w:numPr>
    </w:pPr>
  </w:style>
  <w:style w:type="paragraph" w:styleId="ListBullet">
    <w:name w:val="List Bullet"/>
    <w:basedOn w:val="BodyText"/>
    <w:uiPriority w:val="1"/>
    <w:rsid w:val="004B2E91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4B2E91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4B2E91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B2E91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4B2E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B2E9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B2E91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B2E9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4B2E91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B2E91"/>
    <w:rPr>
      <w:sz w:val="20"/>
      <w:szCs w:val="20"/>
    </w:rPr>
  </w:style>
  <w:style w:type="paragraph" w:customStyle="1" w:styleId="Titlehidden">
    <w:name w:val="Title_hidden"/>
    <w:uiPriority w:val="2"/>
    <w:rsid w:val="004B2E91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4B2E91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B2E9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4B2E9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4B2E9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4B2E9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B2E9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4B2E91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4B2E91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4B2E91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4B2E91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4B2E9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4B2E9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4B2E91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4B2E9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4B2E91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4B2E91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4B2E91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4B2E91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4B2E9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B2E9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B2E9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B2E9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B2E91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B2E91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B2E9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4B2E9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4B2E91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4B2E91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4B2E91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4B2E9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4B2E91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4B2E9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4B2E91"/>
    <w:rPr>
      <w:rFonts w:ascii="Times New Roman" w:hAnsi="Times New Roman" w:cs="Times New Roman"/>
      <w:b/>
      <w:bCs/>
      <w:sz w:val="28"/>
      <w:szCs w:val="24"/>
    </w:rPr>
  </w:style>
  <w:style w:type="paragraph" w:customStyle="1" w:styleId="StepalphaDotHang1st">
    <w:name w:val="Step_alphaDotHang1st"/>
    <w:uiPriority w:val="99"/>
    <w:rsid w:val="004B2E91"/>
    <w:pPr>
      <w:widowControl w:val="0"/>
      <w:tabs>
        <w:tab w:val="left" w:pos="2160"/>
      </w:tabs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w w:val="0"/>
      <w:sz w:val="24"/>
      <w:szCs w:val="24"/>
    </w:rPr>
  </w:style>
  <w:style w:type="paragraph" w:customStyle="1" w:styleId="StepalphaDotHang">
    <w:name w:val="Step_alphaDotHang"/>
    <w:uiPriority w:val="99"/>
    <w:rsid w:val="004B2E91"/>
    <w:pPr>
      <w:widowControl w:val="0"/>
      <w:tabs>
        <w:tab w:val="left" w:pos="2160"/>
      </w:tabs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4B2E91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4B2E91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4B2E91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93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918C6D-A488-4E36-BF5E-B96943E296B3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6F0D59E-9E9E-4BD5-9F5A-B6927C6E6C1F}"/>
</file>

<file path=customXml/itemProps3.xml><?xml version="1.0" encoding="utf-8"?>
<ds:datastoreItem xmlns:ds="http://schemas.openxmlformats.org/officeDocument/2006/customXml" ds:itemID="{ED07958F-A429-4F20-817A-B76EFF7A7D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4DCA1B-78AD-49EB-9A1B-AB24AE281C76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7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4</cp:revision>
  <cp:lastPrinted>2010-04-20T04:56:00Z</cp:lastPrinted>
  <dcterms:created xsi:type="dcterms:W3CDTF">2022-09-04T19:51:00Z</dcterms:created>
  <dcterms:modified xsi:type="dcterms:W3CDTF">2022-09-18T15:45:00Z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14005800.0000000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